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85B71" w14:textId="77777777" w:rsidR="00F95A25" w:rsidRPr="0069635F" w:rsidRDefault="00F95A25">
      <w:r w:rsidRPr="0069635F">
        <w:rPr>
          <w:rFonts w:eastAsiaTheme="majorEastAsia"/>
          <w:noProof/>
          <w:lang w:val="en-US"/>
        </w:rPr>
        <w:drawing>
          <wp:anchor distT="0" distB="0" distL="114300" distR="114300" simplePos="0" relativeHeight="251658240" behindDoc="0" locked="0" layoutInCell="1" allowOverlap="1" wp14:anchorId="10BE3EAC" wp14:editId="6D771337">
            <wp:simplePos x="723900" y="895350"/>
            <wp:positionH relativeFrom="margin">
              <wp:align>center</wp:align>
            </wp:positionH>
            <wp:positionV relativeFrom="margin">
              <wp:align>top</wp:align>
            </wp:positionV>
            <wp:extent cx="5401056" cy="3599688"/>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DV logo+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1056" cy="3599688"/>
                    </a:xfrm>
                    <a:prstGeom prst="rect">
                      <a:avLst/>
                    </a:prstGeom>
                  </pic:spPr>
                </pic:pic>
              </a:graphicData>
            </a:graphic>
          </wp:anchor>
        </w:drawing>
      </w:r>
    </w:p>
    <w:p w14:paraId="2978BA4B" w14:textId="77777777" w:rsidR="00F95A25" w:rsidRPr="0069635F" w:rsidRDefault="00F95A25"/>
    <w:p w14:paraId="178FAA96" w14:textId="77777777" w:rsidR="00F95A25" w:rsidRPr="0069635F" w:rsidRDefault="00F95A25"/>
    <w:tbl>
      <w:tblPr>
        <w:tblW w:w="5000" w:type="pct"/>
        <w:jc w:val="center"/>
        <w:tblLook w:val="04A0" w:firstRow="1" w:lastRow="0" w:firstColumn="1" w:lastColumn="0" w:noHBand="0" w:noVBand="1"/>
      </w:tblPr>
      <w:tblGrid>
        <w:gridCol w:w="9638"/>
      </w:tblGrid>
      <w:tr w:rsidR="00F95A25" w:rsidRPr="0069635F" w14:paraId="185FD2F7" w14:textId="77777777" w:rsidTr="00504AB6">
        <w:trPr>
          <w:trHeight w:val="1440"/>
          <w:jc w:val="center"/>
        </w:trPr>
        <w:sdt>
          <w:sdtPr>
            <w:rPr>
              <w:rFonts w:asciiTheme="majorHAnsi" w:eastAsiaTheme="majorEastAsia" w:hAnsiTheme="majorHAnsi" w:cstheme="majorBidi"/>
              <w:b/>
              <w:sz w:val="96"/>
              <w:szCs w:val="96"/>
              <w:lang w:val="en-GB"/>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5B9BD5" w:themeColor="accent1"/>
                </w:tcBorders>
                <w:vAlign w:val="center"/>
              </w:tcPr>
              <w:p w14:paraId="7D900013" w14:textId="77777777" w:rsidR="00F95A25" w:rsidRPr="0069635F" w:rsidRDefault="00F95A25" w:rsidP="00504AB6">
                <w:pPr>
                  <w:pStyle w:val="NoSpacing"/>
                  <w:jc w:val="center"/>
                  <w:rPr>
                    <w:rFonts w:asciiTheme="majorHAnsi" w:eastAsiaTheme="majorEastAsia" w:hAnsiTheme="majorHAnsi" w:cstheme="majorBidi"/>
                    <w:sz w:val="80"/>
                    <w:szCs w:val="80"/>
                    <w:lang w:val="en-GB"/>
                  </w:rPr>
                </w:pPr>
                <w:r w:rsidRPr="0069635F">
                  <w:rPr>
                    <w:rFonts w:asciiTheme="majorHAnsi" w:eastAsiaTheme="majorEastAsia" w:hAnsiTheme="majorHAnsi" w:cstheme="majorBidi"/>
                    <w:b/>
                    <w:sz w:val="96"/>
                    <w:szCs w:val="96"/>
                    <w:lang w:val="en-GB"/>
                  </w:rPr>
                  <w:t>Media and Embargo Policy</w:t>
                </w:r>
              </w:p>
            </w:tc>
          </w:sdtContent>
        </w:sdt>
      </w:tr>
      <w:tr w:rsidR="00F95A25" w:rsidRPr="0069635F" w14:paraId="12C40FEA" w14:textId="77777777" w:rsidTr="00504AB6">
        <w:trPr>
          <w:trHeight w:val="720"/>
          <w:jc w:val="center"/>
        </w:trPr>
        <w:tc>
          <w:tcPr>
            <w:tcW w:w="5000" w:type="pct"/>
            <w:tcBorders>
              <w:top w:val="single" w:sz="4" w:space="0" w:color="5B9BD5" w:themeColor="accent1"/>
            </w:tcBorders>
            <w:vAlign w:val="center"/>
          </w:tcPr>
          <w:p w14:paraId="2F2CFD29" w14:textId="77777777" w:rsidR="00F95A25" w:rsidRPr="0069635F" w:rsidRDefault="00F95A25" w:rsidP="00504AB6">
            <w:pPr>
              <w:pStyle w:val="NoSpacing"/>
              <w:jc w:val="center"/>
              <w:rPr>
                <w:rFonts w:asciiTheme="majorHAnsi" w:eastAsiaTheme="majorEastAsia" w:hAnsiTheme="majorHAnsi" w:cstheme="majorBidi"/>
                <w:sz w:val="44"/>
                <w:szCs w:val="44"/>
                <w:lang w:val="en-GB"/>
              </w:rPr>
            </w:pPr>
          </w:p>
          <w:p w14:paraId="6BF8E6E8" w14:textId="77777777" w:rsidR="00083948" w:rsidRDefault="009F67A7" w:rsidP="00504AB6">
            <w:pPr>
              <w:pStyle w:val="NoSpacing"/>
              <w:jc w:val="center"/>
              <w:rPr>
                <w:rFonts w:asciiTheme="majorHAnsi" w:eastAsiaTheme="majorEastAsia" w:hAnsiTheme="majorHAnsi" w:cstheme="majorBidi"/>
                <w:sz w:val="44"/>
                <w:szCs w:val="44"/>
                <w:lang w:val="en-GB"/>
              </w:rPr>
            </w:pPr>
            <w:r>
              <w:rPr>
                <w:rFonts w:asciiTheme="majorHAnsi" w:eastAsiaTheme="majorEastAsia" w:hAnsiTheme="majorHAnsi" w:cstheme="majorBidi"/>
                <w:sz w:val="44"/>
                <w:szCs w:val="44"/>
                <w:lang w:val="en-GB"/>
              </w:rPr>
              <w:t>29</w:t>
            </w:r>
            <w:r w:rsidR="00F95A25" w:rsidRPr="0069635F">
              <w:rPr>
                <w:rFonts w:asciiTheme="majorHAnsi" w:eastAsiaTheme="majorEastAsia" w:hAnsiTheme="majorHAnsi" w:cstheme="majorBidi"/>
                <w:sz w:val="44"/>
                <w:szCs w:val="44"/>
                <w:vertAlign w:val="superscript"/>
                <w:lang w:val="en-GB"/>
              </w:rPr>
              <w:t>th</w:t>
            </w:r>
            <w:r w:rsidR="00F95A25" w:rsidRPr="0069635F">
              <w:rPr>
                <w:rFonts w:asciiTheme="majorHAnsi" w:eastAsiaTheme="majorEastAsia" w:hAnsiTheme="majorHAnsi" w:cstheme="majorBidi"/>
                <w:sz w:val="44"/>
                <w:szCs w:val="44"/>
                <w:lang w:val="en-GB"/>
              </w:rPr>
              <w:t xml:space="preserve"> </w:t>
            </w:r>
            <w:r w:rsidR="00E416AB">
              <w:rPr>
                <w:rFonts w:asciiTheme="majorHAnsi" w:eastAsiaTheme="majorEastAsia" w:hAnsiTheme="majorHAnsi" w:cstheme="majorBidi"/>
                <w:sz w:val="44"/>
                <w:szCs w:val="44"/>
                <w:lang w:val="en-GB"/>
              </w:rPr>
              <w:t xml:space="preserve">Congress </w:t>
            </w:r>
            <w:r w:rsidR="00F95A25" w:rsidRPr="0069635F">
              <w:rPr>
                <w:rFonts w:asciiTheme="majorHAnsi" w:eastAsiaTheme="majorEastAsia" w:hAnsiTheme="majorHAnsi" w:cstheme="majorBidi"/>
                <w:sz w:val="44"/>
                <w:szCs w:val="44"/>
                <w:lang w:val="en-GB"/>
              </w:rPr>
              <w:t xml:space="preserve">EADV </w:t>
            </w:r>
            <w:r>
              <w:rPr>
                <w:rFonts w:asciiTheme="majorHAnsi" w:eastAsiaTheme="majorEastAsia" w:hAnsiTheme="majorHAnsi" w:cstheme="majorBidi"/>
                <w:sz w:val="44"/>
                <w:szCs w:val="44"/>
                <w:lang w:val="en-GB"/>
              </w:rPr>
              <w:t xml:space="preserve">Virtual </w:t>
            </w:r>
          </w:p>
          <w:p w14:paraId="46BF4A64" w14:textId="77777777" w:rsidR="00F95A25" w:rsidRPr="0069635F" w:rsidRDefault="00AC250E" w:rsidP="00504AB6">
            <w:pPr>
              <w:pStyle w:val="NoSpacing"/>
              <w:jc w:val="center"/>
              <w:rPr>
                <w:rFonts w:asciiTheme="majorHAnsi" w:eastAsiaTheme="majorEastAsia" w:hAnsiTheme="majorHAnsi" w:cstheme="majorBidi"/>
                <w:sz w:val="44"/>
                <w:szCs w:val="44"/>
                <w:lang w:val="en-GB"/>
              </w:rPr>
            </w:pPr>
            <w:r>
              <w:rPr>
                <w:rFonts w:asciiTheme="majorHAnsi" w:eastAsiaTheme="majorEastAsia" w:hAnsiTheme="majorHAnsi" w:cstheme="majorBidi"/>
                <w:sz w:val="44"/>
                <w:szCs w:val="44"/>
                <w:lang w:val="en-GB"/>
              </w:rPr>
              <w:t>New Frontiers in Dermatology and Venereology</w:t>
            </w:r>
          </w:p>
          <w:p w14:paraId="3395BEC3" w14:textId="77777777" w:rsidR="00F95A25" w:rsidRPr="0069635F" w:rsidRDefault="009F67A7" w:rsidP="00504AB6">
            <w:pPr>
              <w:pStyle w:val="NoSpacing"/>
              <w:jc w:val="center"/>
              <w:rPr>
                <w:rFonts w:asciiTheme="majorHAnsi" w:eastAsiaTheme="majorEastAsia" w:hAnsiTheme="majorHAnsi" w:cstheme="majorBidi"/>
                <w:sz w:val="44"/>
                <w:szCs w:val="44"/>
                <w:lang w:val="en-GB"/>
              </w:rPr>
            </w:pPr>
            <w:r>
              <w:rPr>
                <w:rFonts w:asciiTheme="majorHAnsi" w:eastAsiaTheme="majorEastAsia" w:hAnsiTheme="majorHAnsi" w:cstheme="majorBidi"/>
                <w:sz w:val="44"/>
                <w:szCs w:val="44"/>
                <w:lang w:val="en-GB"/>
              </w:rPr>
              <w:t>29</w:t>
            </w:r>
            <w:r w:rsidR="00E416AB" w:rsidRPr="00FE5399">
              <w:rPr>
                <w:rFonts w:asciiTheme="majorHAnsi" w:eastAsiaTheme="majorEastAsia" w:hAnsiTheme="majorHAnsi" w:cstheme="majorBidi"/>
                <w:sz w:val="44"/>
                <w:szCs w:val="44"/>
                <w:vertAlign w:val="superscript"/>
                <w:lang w:val="en-GB"/>
              </w:rPr>
              <w:t>th</w:t>
            </w:r>
            <w:r w:rsidR="00FE5399">
              <w:rPr>
                <w:rFonts w:asciiTheme="majorHAnsi" w:eastAsiaTheme="majorEastAsia" w:hAnsiTheme="majorHAnsi" w:cstheme="majorBidi"/>
                <w:sz w:val="44"/>
                <w:szCs w:val="44"/>
                <w:vertAlign w:val="superscript"/>
                <w:lang w:val="en-GB"/>
              </w:rPr>
              <w:t xml:space="preserve"> </w:t>
            </w:r>
            <w:r>
              <w:rPr>
                <w:rFonts w:asciiTheme="majorHAnsi" w:eastAsiaTheme="majorEastAsia" w:hAnsiTheme="majorHAnsi" w:cstheme="majorBidi"/>
                <w:sz w:val="44"/>
                <w:szCs w:val="44"/>
                <w:lang w:val="en-GB"/>
              </w:rPr>
              <w:t>-</w:t>
            </w:r>
            <w:r w:rsidR="00FE5399">
              <w:rPr>
                <w:rFonts w:asciiTheme="majorHAnsi" w:eastAsiaTheme="majorEastAsia" w:hAnsiTheme="majorHAnsi" w:cstheme="majorBidi"/>
                <w:sz w:val="44"/>
                <w:szCs w:val="44"/>
                <w:lang w:val="en-GB"/>
              </w:rPr>
              <w:t xml:space="preserve"> </w:t>
            </w:r>
            <w:r>
              <w:rPr>
                <w:rFonts w:asciiTheme="majorHAnsi" w:eastAsiaTheme="majorEastAsia" w:hAnsiTheme="majorHAnsi" w:cstheme="majorBidi"/>
                <w:sz w:val="44"/>
                <w:szCs w:val="44"/>
                <w:lang w:val="en-GB"/>
              </w:rPr>
              <w:t>31</w:t>
            </w:r>
            <w:r w:rsidR="00E416AB" w:rsidRPr="00FE5399">
              <w:rPr>
                <w:rFonts w:asciiTheme="majorHAnsi" w:eastAsiaTheme="majorEastAsia" w:hAnsiTheme="majorHAnsi" w:cstheme="majorBidi"/>
                <w:sz w:val="44"/>
                <w:szCs w:val="44"/>
                <w:vertAlign w:val="superscript"/>
                <w:lang w:val="en-GB"/>
              </w:rPr>
              <w:t>st</w:t>
            </w:r>
            <w:r w:rsidR="00E416AB">
              <w:rPr>
                <w:rFonts w:asciiTheme="majorHAnsi" w:eastAsiaTheme="majorEastAsia" w:hAnsiTheme="majorHAnsi" w:cstheme="majorBidi"/>
                <w:sz w:val="44"/>
                <w:szCs w:val="44"/>
                <w:lang w:val="en-GB"/>
              </w:rPr>
              <w:t xml:space="preserve"> </w:t>
            </w:r>
            <w:r>
              <w:rPr>
                <w:rFonts w:asciiTheme="majorHAnsi" w:eastAsiaTheme="majorEastAsia" w:hAnsiTheme="majorHAnsi" w:cstheme="majorBidi"/>
                <w:sz w:val="44"/>
                <w:szCs w:val="44"/>
                <w:lang w:val="en-GB"/>
              </w:rPr>
              <w:t>October 2020</w:t>
            </w:r>
          </w:p>
        </w:tc>
      </w:tr>
    </w:tbl>
    <w:p w14:paraId="06A34C05" w14:textId="77777777" w:rsidR="00F95A25" w:rsidRPr="0069635F" w:rsidRDefault="00F95A25"/>
    <w:p w14:paraId="41A7FE49" w14:textId="77777777" w:rsidR="00F95A25" w:rsidRPr="0069635F" w:rsidRDefault="00F95A25">
      <w:r w:rsidRPr="0069635F">
        <w:br w:type="page"/>
      </w:r>
    </w:p>
    <w:sdt>
      <w:sdtPr>
        <w:rPr>
          <w:rFonts w:asciiTheme="minorHAnsi" w:eastAsiaTheme="minorHAnsi" w:hAnsiTheme="minorHAnsi" w:cstheme="minorBidi"/>
          <w:color w:val="auto"/>
          <w:sz w:val="22"/>
          <w:szCs w:val="22"/>
          <w:lang w:val="en-GB"/>
        </w:rPr>
        <w:id w:val="-1990696068"/>
        <w:docPartObj>
          <w:docPartGallery w:val="Table of Contents"/>
          <w:docPartUnique/>
        </w:docPartObj>
      </w:sdtPr>
      <w:sdtEndPr>
        <w:rPr>
          <w:b/>
          <w:bCs/>
          <w:noProof/>
        </w:rPr>
      </w:sdtEndPr>
      <w:sdtContent>
        <w:p w14:paraId="64D2FF46" w14:textId="77777777" w:rsidR="00F95A25" w:rsidRPr="0069635F" w:rsidRDefault="00F95A25">
          <w:pPr>
            <w:pStyle w:val="TOCHeading"/>
            <w:rPr>
              <w:color w:val="000000" w:themeColor="text1"/>
              <w:lang w:val="en-GB"/>
            </w:rPr>
          </w:pPr>
          <w:r w:rsidRPr="0069635F">
            <w:rPr>
              <w:color w:val="000000" w:themeColor="text1"/>
              <w:lang w:val="en-GB"/>
            </w:rPr>
            <w:t>Contents</w:t>
          </w:r>
        </w:p>
        <w:bookmarkStart w:id="0" w:name="_GoBack"/>
        <w:bookmarkEnd w:id="0"/>
        <w:p w14:paraId="13934B2F" w14:textId="23E77ECB" w:rsidR="00973148" w:rsidRDefault="00F95A25">
          <w:pPr>
            <w:pStyle w:val="TOC1"/>
            <w:tabs>
              <w:tab w:val="left" w:pos="440"/>
              <w:tab w:val="right" w:leader="dot" w:pos="9628"/>
            </w:tabs>
            <w:rPr>
              <w:rFonts w:eastAsiaTheme="minorEastAsia"/>
              <w:noProof/>
              <w:lang w:eastAsia="en-GB"/>
            </w:rPr>
          </w:pPr>
          <w:r w:rsidRPr="0069635F">
            <w:rPr>
              <w:b/>
              <w:bCs/>
              <w:noProof/>
            </w:rPr>
            <w:fldChar w:fldCharType="begin"/>
          </w:r>
          <w:r w:rsidRPr="0069635F">
            <w:rPr>
              <w:b/>
              <w:bCs/>
              <w:noProof/>
            </w:rPr>
            <w:instrText xml:space="preserve"> TOC \o "1-3" \h \z \u </w:instrText>
          </w:r>
          <w:r w:rsidRPr="0069635F">
            <w:rPr>
              <w:b/>
              <w:bCs/>
              <w:noProof/>
            </w:rPr>
            <w:fldChar w:fldCharType="separate"/>
          </w:r>
          <w:hyperlink w:anchor="_Toc50737974" w:history="1">
            <w:r w:rsidR="00973148" w:rsidRPr="004E5121">
              <w:rPr>
                <w:rStyle w:val="Hyperlink"/>
                <w:noProof/>
              </w:rPr>
              <w:t>1</w:t>
            </w:r>
            <w:r w:rsidR="00973148">
              <w:rPr>
                <w:rFonts w:eastAsiaTheme="minorEastAsia"/>
                <w:noProof/>
                <w:lang w:eastAsia="en-GB"/>
              </w:rPr>
              <w:tab/>
            </w:r>
            <w:r w:rsidR="00973148" w:rsidRPr="004E5121">
              <w:rPr>
                <w:rStyle w:val="Hyperlink"/>
                <w:noProof/>
              </w:rPr>
              <w:t>General Media Regulations</w:t>
            </w:r>
            <w:r w:rsidR="00973148">
              <w:rPr>
                <w:noProof/>
                <w:webHidden/>
              </w:rPr>
              <w:tab/>
            </w:r>
            <w:r w:rsidR="00973148">
              <w:rPr>
                <w:noProof/>
                <w:webHidden/>
              </w:rPr>
              <w:fldChar w:fldCharType="begin"/>
            </w:r>
            <w:r w:rsidR="00973148">
              <w:rPr>
                <w:noProof/>
                <w:webHidden/>
              </w:rPr>
              <w:instrText xml:space="preserve"> PAGEREF _Toc50737974 \h </w:instrText>
            </w:r>
            <w:r w:rsidR="00973148">
              <w:rPr>
                <w:noProof/>
                <w:webHidden/>
              </w:rPr>
            </w:r>
            <w:r w:rsidR="00973148">
              <w:rPr>
                <w:noProof/>
                <w:webHidden/>
              </w:rPr>
              <w:fldChar w:fldCharType="separate"/>
            </w:r>
            <w:r w:rsidR="00973148">
              <w:rPr>
                <w:noProof/>
                <w:webHidden/>
              </w:rPr>
              <w:t>2</w:t>
            </w:r>
            <w:r w:rsidR="00973148">
              <w:rPr>
                <w:noProof/>
                <w:webHidden/>
              </w:rPr>
              <w:fldChar w:fldCharType="end"/>
            </w:r>
          </w:hyperlink>
        </w:p>
        <w:p w14:paraId="14B8165B" w14:textId="35BF4C30" w:rsidR="00973148" w:rsidRDefault="00973148">
          <w:pPr>
            <w:pStyle w:val="TOC1"/>
            <w:tabs>
              <w:tab w:val="left" w:pos="440"/>
              <w:tab w:val="right" w:leader="dot" w:pos="9628"/>
            </w:tabs>
            <w:rPr>
              <w:rFonts w:eastAsiaTheme="minorEastAsia"/>
              <w:noProof/>
              <w:lang w:eastAsia="en-GB"/>
            </w:rPr>
          </w:pPr>
          <w:hyperlink w:anchor="_Toc50737975" w:history="1">
            <w:r w:rsidRPr="004E5121">
              <w:rPr>
                <w:rStyle w:val="Hyperlink"/>
                <w:noProof/>
              </w:rPr>
              <w:t>2</w:t>
            </w:r>
            <w:r>
              <w:rPr>
                <w:rFonts w:eastAsiaTheme="minorEastAsia"/>
                <w:noProof/>
                <w:lang w:eastAsia="en-GB"/>
              </w:rPr>
              <w:tab/>
            </w:r>
            <w:r w:rsidRPr="004E5121">
              <w:rPr>
                <w:rStyle w:val="Hyperlink"/>
                <w:noProof/>
              </w:rPr>
              <w:t>Accreditation, Registration and Access</w:t>
            </w:r>
            <w:r>
              <w:rPr>
                <w:noProof/>
                <w:webHidden/>
              </w:rPr>
              <w:tab/>
            </w:r>
            <w:r>
              <w:rPr>
                <w:noProof/>
                <w:webHidden/>
              </w:rPr>
              <w:fldChar w:fldCharType="begin"/>
            </w:r>
            <w:r>
              <w:rPr>
                <w:noProof/>
                <w:webHidden/>
              </w:rPr>
              <w:instrText xml:space="preserve"> PAGEREF _Toc50737975 \h </w:instrText>
            </w:r>
            <w:r>
              <w:rPr>
                <w:noProof/>
                <w:webHidden/>
              </w:rPr>
            </w:r>
            <w:r>
              <w:rPr>
                <w:noProof/>
                <w:webHidden/>
              </w:rPr>
              <w:fldChar w:fldCharType="separate"/>
            </w:r>
            <w:r>
              <w:rPr>
                <w:noProof/>
                <w:webHidden/>
              </w:rPr>
              <w:t>2</w:t>
            </w:r>
            <w:r>
              <w:rPr>
                <w:noProof/>
                <w:webHidden/>
              </w:rPr>
              <w:fldChar w:fldCharType="end"/>
            </w:r>
          </w:hyperlink>
        </w:p>
        <w:p w14:paraId="753E5116" w14:textId="40AB7391" w:rsidR="00973148" w:rsidRDefault="00973148">
          <w:pPr>
            <w:pStyle w:val="TOC1"/>
            <w:tabs>
              <w:tab w:val="left" w:pos="440"/>
              <w:tab w:val="right" w:leader="dot" w:pos="9628"/>
            </w:tabs>
            <w:rPr>
              <w:rFonts w:eastAsiaTheme="minorEastAsia"/>
              <w:noProof/>
              <w:lang w:eastAsia="en-GB"/>
            </w:rPr>
          </w:pPr>
          <w:hyperlink w:anchor="_Toc50737976" w:history="1">
            <w:r w:rsidRPr="004E5121">
              <w:rPr>
                <w:rStyle w:val="Hyperlink"/>
                <w:noProof/>
              </w:rPr>
              <w:t>3</w:t>
            </w:r>
            <w:r>
              <w:rPr>
                <w:rFonts w:eastAsiaTheme="minorEastAsia"/>
                <w:noProof/>
                <w:lang w:eastAsia="en-GB"/>
              </w:rPr>
              <w:tab/>
            </w:r>
            <w:r w:rsidRPr="004E5121">
              <w:rPr>
                <w:rStyle w:val="Hyperlink"/>
                <w:noProof/>
              </w:rPr>
              <w:t>Embargo Policy</w:t>
            </w:r>
            <w:r>
              <w:rPr>
                <w:noProof/>
                <w:webHidden/>
              </w:rPr>
              <w:tab/>
            </w:r>
            <w:r>
              <w:rPr>
                <w:noProof/>
                <w:webHidden/>
              </w:rPr>
              <w:fldChar w:fldCharType="begin"/>
            </w:r>
            <w:r>
              <w:rPr>
                <w:noProof/>
                <w:webHidden/>
              </w:rPr>
              <w:instrText xml:space="preserve"> PAGEREF _Toc50737976 \h </w:instrText>
            </w:r>
            <w:r>
              <w:rPr>
                <w:noProof/>
                <w:webHidden/>
              </w:rPr>
            </w:r>
            <w:r>
              <w:rPr>
                <w:noProof/>
                <w:webHidden/>
              </w:rPr>
              <w:fldChar w:fldCharType="separate"/>
            </w:r>
            <w:r>
              <w:rPr>
                <w:noProof/>
                <w:webHidden/>
              </w:rPr>
              <w:t>3</w:t>
            </w:r>
            <w:r>
              <w:rPr>
                <w:noProof/>
                <w:webHidden/>
              </w:rPr>
              <w:fldChar w:fldCharType="end"/>
            </w:r>
          </w:hyperlink>
        </w:p>
        <w:p w14:paraId="72B9A363" w14:textId="1688E973" w:rsidR="00973148" w:rsidRDefault="00973148">
          <w:pPr>
            <w:pStyle w:val="TOC1"/>
            <w:tabs>
              <w:tab w:val="left" w:pos="440"/>
              <w:tab w:val="right" w:leader="dot" w:pos="9628"/>
            </w:tabs>
            <w:rPr>
              <w:rFonts w:eastAsiaTheme="minorEastAsia"/>
              <w:noProof/>
              <w:lang w:eastAsia="en-GB"/>
            </w:rPr>
          </w:pPr>
          <w:hyperlink w:anchor="_Toc50737977" w:history="1">
            <w:r w:rsidRPr="004E5121">
              <w:rPr>
                <w:rStyle w:val="Hyperlink"/>
                <w:noProof/>
              </w:rPr>
              <w:t>4</w:t>
            </w:r>
            <w:r>
              <w:rPr>
                <w:rFonts w:eastAsiaTheme="minorEastAsia"/>
                <w:noProof/>
                <w:lang w:eastAsia="en-GB"/>
              </w:rPr>
              <w:tab/>
            </w:r>
            <w:r w:rsidRPr="004E5121">
              <w:rPr>
                <w:rStyle w:val="Hyperlink"/>
                <w:noProof/>
              </w:rPr>
              <w:t>Filming, Photography, Recording Rules</w:t>
            </w:r>
            <w:r>
              <w:rPr>
                <w:noProof/>
                <w:webHidden/>
              </w:rPr>
              <w:tab/>
            </w:r>
            <w:r>
              <w:rPr>
                <w:noProof/>
                <w:webHidden/>
              </w:rPr>
              <w:fldChar w:fldCharType="begin"/>
            </w:r>
            <w:r>
              <w:rPr>
                <w:noProof/>
                <w:webHidden/>
              </w:rPr>
              <w:instrText xml:space="preserve"> PAGEREF _Toc50737977 \h </w:instrText>
            </w:r>
            <w:r>
              <w:rPr>
                <w:noProof/>
                <w:webHidden/>
              </w:rPr>
            </w:r>
            <w:r>
              <w:rPr>
                <w:noProof/>
                <w:webHidden/>
              </w:rPr>
              <w:fldChar w:fldCharType="separate"/>
            </w:r>
            <w:r>
              <w:rPr>
                <w:noProof/>
                <w:webHidden/>
              </w:rPr>
              <w:t>4</w:t>
            </w:r>
            <w:r>
              <w:rPr>
                <w:noProof/>
                <w:webHidden/>
              </w:rPr>
              <w:fldChar w:fldCharType="end"/>
            </w:r>
          </w:hyperlink>
        </w:p>
        <w:p w14:paraId="56BE0A78" w14:textId="6307E28B" w:rsidR="00973148" w:rsidRDefault="00973148">
          <w:pPr>
            <w:pStyle w:val="TOC1"/>
            <w:tabs>
              <w:tab w:val="left" w:pos="440"/>
              <w:tab w:val="right" w:leader="dot" w:pos="9628"/>
            </w:tabs>
            <w:rPr>
              <w:rFonts w:eastAsiaTheme="minorEastAsia"/>
              <w:noProof/>
              <w:lang w:eastAsia="en-GB"/>
            </w:rPr>
          </w:pPr>
          <w:hyperlink w:anchor="_Toc50737978" w:history="1">
            <w:r w:rsidRPr="004E5121">
              <w:rPr>
                <w:rStyle w:val="Hyperlink"/>
                <w:noProof/>
              </w:rPr>
              <w:t>5</w:t>
            </w:r>
            <w:r>
              <w:rPr>
                <w:rFonts w:eastAsiaTheme="minorEastAsia"/>
                <w:noProof/>
                <w:lang w:eastAsia="en-GB"/>
              </w:rPr>
              <w:tab/>
            </w:r>
            <w:r w:rsidRPr="004E5121">
              <w:rPr>
                <w:rStyle w:val="Hyperlink"/>
                <w:noProof/>
              </w:rPr>
              <w:t>Termination and/or revocation of Media Credentials</w:t>
            </w:r>
            <w:r>
              <w:rPr>
                <w:noProof/>
                <w:webHidden/>
              </w:rPr>
              <w:tab/>
            </w:r>
            <w:r>
              <w:rPr>
                <w:noProof/>
                <w:webHidden/>
              </w:rPr>
              <w:fldChar w:fldCharType="begin"/>
            </w:r>
            <w:r>
              <w:rPr>
                <w:noProof/>
                <w:webHidden/>
              </w:rPr>
              <w:instrText xml:space="preserve"> PAGEREF _Toc50737978 \h </w:instrText>
            </w:r>
            <w:r>
              <w:rPr>
                <w:noProof/>
                <w:webHidden/>
              </w:rPr>
            </w:r>
            <w:r>
              <w:rPr>
                <w:noProof/>
                <w:webHidden/>
              </w:rPr>
              <w:fldChar w:fldCharType="separate"/>
            </w:r>
            <w:r>
              <w:rPr>
                <w:noProof/>
                <w:webHidden/>
              </w:rPr>
              <w:t>5</w:t>
            </w:r>
            <w:r>
              <w:rPr>
                <w:noProof/>
                <w:webHidden/>
              </w:rPr>
              <w:fldChar w:fldCharType="end"/>
            </w:r>
          </w:hyperlink>
        </w:p>
        <w:p w14:paraId="53A48106" w14:textId="7CB47CDE" w:rsidR="00973148" w:rsidRDefault="00973148">
          <w:pPr>
            <w:pStyle w:val="TOC1"/>
            <w:tabs>
              <w:tab w:val="left" w:pos="440"/>
              <w:tab w:val="right" w:leader="dot" w:pos="9628"/>
            </w:tabs>
            <w:rPr>
              <w:rFonts w:eastAsiaTheme="minorEastAsia"/>
              <w:noProof/>
              <w:lang w:eastAsia="en-GB"/>
            </w:rPr>
          </w:pPr>
          <w:hyperlink w:anchor="_Toc50737979" w:history="1">
            <w:r w:rsidRPr="004E5121">
              <w:rPr>
                <w:rStyle w:val="Hyperlink"/>
                <w:noProof/>
              </w:rPr>
              <w:t>6</w:t>
            </w:r>
            <w:r>
              <w:rPr>
                <w:rFonts w:eastAsiaTheme="minorEastAsia"/>
                <w:noProof/>
                <w:lang w:eastAsia="en-GB"/>
              </w:rPr>
              <w:tab/>
            </w:r>
            <w:r w:rsidRPr="004E5121">
              <w:rPr>
                <w:rStyle w:val="Hyperlink"/>
                <w:noProof/>
              </w:rPr>
              <w:t>Acceptance of Media</w:t>
            </w:r>
            <w:r>
              <w:rPr>
                <w:noProof/>
                <w:webHidden/>
              </w:rPr>
              <w:tab/>
            </w:r>
            <w:r>
              <w:rPr>
                <w:noProof/>
                <w:webHidden/>
              </w:rPr>
              <w:fldChar w:fldCharType="begin"/>
            </w:r>
            <w:r>
              <w:rPr>
                <w:noProof/>
                <w:webHidden/>
              </w:rPr>
              <w:instrText xml:space="preserve"> PAGEREF _Toc50737979 \h </w:instrText>
            </w:r>
            <w:r>
              <w:rPr>
                <w:noProof/>
                <w:webHidden/>
              </w:rPr>
            </w:r>
            <w:r>
              <w:rPr>
                <w:noProof/>
                <w:webHidden/>
              </w:rPr>
              <w:fldChar w:fldCharType="separate"/>
            </w:r>
            <w:r>
              <w:rPr>
                <w:noProof/>
                <w:webHidden/>
              </w:rPr>
              <w:t>6</w:t>
            </w:r>
            <w:r>
              <w:rPr>
                <w:noProof/>
                <w:webHidden/>
              </w:rPr>
              <w:fldChar w:fldCharType="end"/>
            </w:r>
          </w:hyperlink>
        </w:p>
        <w:p w14:paraId="5156E67C" w14:textId="2B0FAE02" w:rsidR="00F95A25" w:rsidRPr="0069635F" w:rsidRDefault="00F95A25">
          <w:r w:rsidRPr="0069635F">
            <w:rPr>
              <w:b/>
              <w:bCs/>
              <w:noProof/>
            </w:rPr>
            <w:fldChar w:fldCharType="end"/>
          </w:r>
        </w:p>
      </w:sdtContent>
    </w:sdt>
    <w:p w14:paraId="0DD50462" w14:textId="77777777" w:rsidR="00F95A25" w:rsidRPr="0069635F" w:rsidRDefault="00F95A25">
      <w:r w:rsidRPr="0069635F">
        <w:br w:type="page"/>
      </w:r>
    </w:p>
    <w:p w14:paraId="4015D534" w14:textId="77777777" w:rsidR="007A426D" w:rsidRPr="0069635F" w:rsidRDefault="00F95A25" w:rsidP="00F95A25">
      <w:pPr>
        <w:pStyle w:val="Heading1"/>
        <w:rPr>
          <w:lang w:val="en-GB"/>
        </w:rPr>
      </w:pPr>
      <w:bookmarkStart w:id="1" w:name="_Toc50737974"/>
      <w:r w:rsidRPr="0069635F">
        <w:rPr>
          <w:lang w:val="en-GB"/>
        </w:rPr>
        <w:lastRenderedPageBreak/>
        <w:t>General Media Regulations</w:t>
      </w:r>
      <w:bookmarkEnd w:id="1"/>
    </w:p>
    <w:p w14:paraId="20A10F2C" w14:textId="77777777" w:rsidR="00F95A25" w:rsidRPr="0069635F" w:rsidRDefault="00F95A25" w:rsidP="00F95A25">
      <w:r w:rsidRPr="0069635F">
        <w:t>Any media outlet or press representative (journalists, reporters, photographers, etc.) wishing to attend the EADV events (Symposium and Congress) and/or other events of EADV must adhere to the EADV media and embargo policy. Signing of the EADV Media and Embargo Policy is a prerequisite for Press registration (online)</w:t>
      </w:r>
    </w:p>
    <w:p w14:paraId="5DCFD84F" w14:textId="77777777" w:rsidR="00F95A25" w:rsidRPr="0069635F" w:rsidRDefault="00F95A25" w:rsidP="00F95A25">
      <w:r w:rsidRPr="0069635F">
        <w:t xml:space="preserve">Anyone who violates the EADV media and embargo policy will be penalised. The penalty may be immediate revocation of press credentials, </w:t>
      </w:r>
      <w:r w:rsidR="009F67A7">
        <w:t>exclusion</w:t>
      </w:r>
      <w:r w:rsidRPr="0069635F">
        <w:t xml:space="preserve"> from the </w:t>
      </w:r>
      <w:r w:rsidR="00135900" w:rsidRPr="0069635F">
        <w:t>EADV</w:t>
      </w:r>
      <w:r w:rsidRPr="0069635F">
        <w:t xml:space="preserve"> event and a denial of access to all EADV events for two years or more. See </w:t>
      </w:r>
      <w:r w:rsidR="00135900" w:rsidRPr="0069635F">
        <w:t>section 5</w:t>
      </w:r>
      <w:r w:rsidRPr="0069635F">
        <w:t>.</w:t>
      </w:r>
    </w:p>
    <w:p w14:paraId="09AA39ED" w14:textId="70482240" w:rsidR="00F95A25" w:rsidRPr="0069635F" w:rsidRDefault="00F95A25" w:rsidP="00F95A25">
      <w:r w:rsidRPr="0069635F">
        <w:t>EADV and/or affiliated trademarks, banners and logos are the property of EADV. They cannot be used, reproduced or associated with any article or press release without the prior written permission of EADV. To get the permission please send your request and the relevant material to</w:t>
      </w:r>
      <w:r w:rsidR="0066468B">
        <w:t xml:space="preserve"> the EADV Press Office</w:t>
      </w:r>
      <w:r w:rsidR="00F10475">
        <w:t xml:space="preserve">: </w:t>
      </w:r>
      <w:hyperlink r:id="rId9" w:history="1">
        <w:r w:rsidR="00FE5399" w:rsidRPr="006000AA">
          <w:rPr>
            <w:rStyle w:val="Hyperlink"/>
          </w:rPr>
          <w:t>EADVmedia@saycomms.co.uk</w:t>
        </w:r>
      </w:hyperlink>
      <w:r w:rsidR="00FE5399">
        <w:t xml:space="preserve">. </w:t>
      </w:r>
    </w:p>
    <w:p w14:paraId="627CE9CD" w14:textId="77777777" w:rsidR="00F95A25" w:rsidRPr="0069635F" w:rsidRDefault="00F95A25" w:rsidP="00F95A25">
      <w:r w:rsidRPr="0069635F">
        <w:t xml:space="preserve">EADV does not make its press database or registration lists available to third parties. It reserves the right to disclose after the event the list of press agencies, without any data subject to GDPR regulations. </w:t>
      </w:r>
    </w:p>
    <w:p w14:paraId="6D2239DB" w14:textId="77777777" w:rsidR="00F95A25" w:rsidRPr="0069635F" w:rsidRDefault="00F95A25" w:rsidP="00F95A25">
      <w:pPr>
        <w:pStyle w:val="Heading1"/>
        <w:rPr>
          <w:lang w:val="en-GB"/>
        </w:rPr>
      </w:pPr>
      <w:bookmarkStart w:id="2" w:name="_Toc50737975"/>
      <w:r w:rsidRPr="0069635F">
        <w:rPr>
          <w:lang w:val="en-GB"/>
        </w:rPr>
        <w:t>Accreditation, Registration and Access</w:t>
      </w:r>
      <w:bookmarkEnd w:id="2"/>
    </w:p>
    <w:p w14:paraId="55128556" w14:textId="77777777" w:rsidR="0004592B" w:rsidRPr="0069635F" w:rsidRDefault="0004592B" w:rsidP="0004592B">
      <w:r w:rsidRPr="0069635F">
        <w:t xml:space="preserve">Press accreditation and registration is required to attend any EADV event. Press registration is </w:t>
      </w:r>
      <w:r w:rsidR="009F67A7">
        <w:t>complimentary</w:t>
      </w:r>
      <w:r w:rsidRPr="0069635F">
        <w:t xml:space="preserve"> and includes the following services (offered at the EADV congress):</w:t>
      </w:r>
    </w:p>
    <w:p w14:paraId="42921AF8" w14:textId="77777777" w:rsidR="0004592B" w:rsidRPr="0069635F" w:rsidRDefault="0004592B" w:rsidP="0004592B">
      <w:pPr>
        <w:pStyle w:val="ListParagraph"/>
        <w:numPr>
          <w:ilvl w:val="0"/>
          <w:numId w:val="7"/>
        </w:numPr>
      </w:pPr>
      <w:r w:rsidRPr="0069635F">
        <w:t xml:space="preserve">Access to all </w:t>
      </w:r>
      <w:r w:rsidR="00504AB6" w:rsidRPr="0069635F">
        <w:t xml:space="preserve">EADV </w:t>
      </w:r>
      <w:r w:rsidRPr="0069635F">
        <w:t xml:space="preserve">scientific </w:t>
      </w:r>
      <w:r w:rsidR="0069635F" w:rsidRPr="0069635F">
        <w:t>sessions,</w:t>
      </w:r>
      <w:r w:rsidR="009F67A7">
        <w:t xml:space="preserve"> exhibition halls</w:t>
      </w:r>
      <w:r w:rsidRPr="0069635F">
        <w:t>, press conferences, press material an</w:t>
      </w:r>
      <w:r w:rsidR="00504AB6" w:rsidRPr="0069635F">
        <w:t>d interviews arranged with EADV</w:t>
      </w:r>
      <w:r w:rsidRPr="0069635F">
        <w:t xml:space="preserve"> spokespersons etc.</w:t>
      </w:r>
    </w:p>
    <w:p w14:paraId="7A21770E" w14:textId="77777777" w:rsidR="00504AB6" w:rsidRPr="0069635F" w:rsidRDefault="00504AB6" w:rsidP="00504AB6">
      <w:pPr>
        <w:pStyle w:val="ListParagraph"/>
        <w:numPr>
          <w:ilvl w:val="0"/>
          <w:numId w:val="7"/>
        </w:numPr>
      </w:pPr>
      <w:r w:rsidRPr="0069635F">
        <w:t>Industries are allowed to restrict access of press to their Industry Satellite Sessions or HUBs</w:t>
      </w:r>
    </w:p>
    <w:p w14:paraId="70E1418E" w14:textId="640C7DCE" w:rsidR="0004592B" w:rsidRDefault="0004592B" w:rsidP="00F10475">
      <w:pPr>
        <w:ind w:left="45"/>
      </w:pPr>
      <w:r w:rsidRPr="0069635F">
        <w:t>Media outlets and press representatives are asked to pre-register. To get a free press pass they are requested to send the following to</w:t>
      </w:r>
      <w:r w:rsidR="00E513C6">
        <w:t xml:space="preserve"> the EADV Press Office at</w:t>
      </w:r>
      <w:r w:rsidRPr="0069635F">
        <w:t xml:space="preserve"> </w:t>
      </w:r>
      <w:hyperlink r:id="rId10" w:history="1">
        <w:r w:rsidR="00FE5399" w:rsidRPr="006000AA">
          <w:rPr>
            <w:rStyle w:val="Hyperlink"/>
          </w:rPr>
          <w:t>EADVmedia@saycomms.co.uk</w:t>
        </w:r>
      </w:hyperlink>
      <w:r w:rsidR="00FE5399">
        <w:rPr>
          <w:rStyle w:val="Hyperlink"/>
        </w:rPr>
        <w:t xml:space="preserve">. </w:t>
      </w:r>
      <w:r w:rsidRPr="0069635F">
        <w:t>A valid press card or an appropriate letter of assignment with two recent published articles</w:t>
      </w:r>
      <w:r w:rsidR="00365271">
        <w:t xml:space="preserve"> </w:t>
      </w:r>
      <w:r w:rsidR="00365271" w:rsidRPr="00365271">
        <w:t>with your by-line on the article</w:t>
      </w:r>
      <w:r w:rsidRPr="0069635F">
        <w:t xml:space="preserve"> (dermatology or venereology-related, or referring to a previous EADV event). Company, media outlet business cards are not accepted as credentials</w:t>
      </w:r>
      <w:r w:rsidR="00E031A5">
        <w:t xml:space="preserve">. </w:t>
      </w:r>
    </w:p>
    <w:p w14:paraId="0C9CCCF7" w14:textId="77777777" w:rsidR="0004592B" w:rsidRPr="0069635F" w:rsidRDefault="0004592B" w:rsidP="0004592B">
      <w:pPr>
        <w:pStyle w:val="ListParagraph"/>
        <w:numPr>
          <w:ilvl w:val="0"/>
          <w:numId w:val="7"/>
        </w:numPr>
      </w:pPr>
      <w:r w:rsidRPr="0069635F">
        <w:t xml:space="preserve">The completed press registration form </w:t>
      </w:r>
    </w:p>
    <w:p w14:paraId="766FD441" w14:textId="77777777" w:rsidR="0004592B" w:rsidRPr="0069635F" w:rsidRDefault="0004592B" w:rsidP="0004592B">
      <w:r w:rsidRPr="0069635F">
        <w:t xml:space="preserve">Press registration is open to any media outlet and/or its press </w:t>
      </w:r>
      <w:r w:rsidR="0069635F" w:rsidRPr="0069635F">
        <w:t>representative:</w:t>
      </w:r>
    </w:p>
    <w:p w14:paraId="3B2EA81E" w14:textId="77777777" w:rsidR="0004592B" w:rsidRPr="00FE5399" w:rsidRDefault="0004592B" w:rsidP="0004592B">
      <w:pPr>
        <w:pStyle w:val="ListParagraph"/>
        <w:numPr>
          <w:ilvl w:val="0"/>
          <w:numId w:val="8"/>
        </w:numPr>
      </w:pPr>
      <w:r w:rsidRPr="00FE5399">
        <w:t>Journalists/reporters</w:t>
      </w:r>
      <w:r w:rsidR="006925EB" w:rsidRPr="00FE5399">
        <w:t>/correspondents</w:t>
      </w:r>
      <w:r w:rsidR="00FE5399">
        <w:t>/Editors</w:t>
      </w:r>
    </w:p>
    <w:p w14:paraId="07F44CF6" w14:textId="77777777" w:rsidR="0004592B" w:rsidRPr="00FE5399" w:rsidRDefault="0004592B" w:rsidP="0004592B">
      <w:pPr>
        <w:pStyle w:val="ListParagraph"/>
        <w:numPr>
          <w:ilvl w:val="0"/>
          <w:numId w:val="8"/>
        </w:numPr>
      </w:pPr>
      <w:r w:rsidRPr="00FE5399">
        <w:t>Freelance journalists (must declare who they represent)</w:t>
      </w:r>
    </w:p>
    <w:p w14:paraId="42392679" w14:textId="77777777" w:rsidR="004C5E68" w:rsidRPr="00FE5399" w:rsidRDefault="00893A0C" w:rsidP="00FE5399">
      <w:pPr>
        <w:pStyle w:val="ListParagraph"/>
        <w:numPr>
          <w:ilvl w:val="0"/>
          <w:numId w:val="8"/>
        </w:numPr>
      </w:pPr>
      <w:r w:rsidRPr="00FE5399">
        <w:t>Media specific photographers/videographers</w:t>
      </w:r>
    </w:p>
    <w:p w14:paraId="2585D723" w14:textId="77777777" w:rsidR="0004592B" w:rsidRPr="00FE5399" w:rsidRDefault="0004592B" w:rsidP="0004592B">
      <w:pPr>
        <w:pStyle w:val="ListParagraph"/>
        <w:numPr>
          <w:ilvl w:val="0"/>
          <w:numId w:val="8"/>
        </w:numPr>
      </w:pPr>
      <w:r w:rsidRPr="00FE5399">
        <w:t>Online media</w:t>
      </w:r>
    </w:p>
    <w:p w14:paraId="1A9B11C4" w14:textId="77777777" w:rsidR="00365271" w:rsidRPr="00FE5399" w:rsidRDefault="00365271" w:rsidP="00365271">
      <w:pPr>
        <w:pStyle w:val="ListParagraph"/>
        <w:numPr>
          <w:ilvl w:val="0"/>
          <w:numId w:val="8"/>
        </w:numPr>
      </w:pPr>
      <w:r w:rsidRPr="00FE5399">
        <w:t>News agencies and newswire services</w:t>
      </w:r>
    </w:p>
    <w:p w14:paraId="4A053A95" w14:textId="77777777" w:rsidR="0004592B" w:rsidRPr="00FE5399" w:rsidRDefault="0004592B" w:rsidP="00365271">
      <w:pPr>
        <w:pStyle w:val="ListParagraph"/>
        <w:numPr>
          <w:ilvl w:val="0"/>
          <w:numId w:val="8"/>
        </w:numPr>
      </w:pPr>
      <w:r w:rsidRPr="00FE5399">
        <w:t>Broadcast media (TV, radio)</w:t>
      </w:r>
      <w:r w:rsidR="0019522A" w:rsidRPr="00FE5399">
        <w:t xml:space="preserve"> </w:t>
      </w:r>
    </w:p>
    <w:p w14:paraId="45A550AD" w14:textId="77777777" w:rsidR="0004592B" w:rsidRPr="00FE5399" w:rsidRDefault="0004592B" w:rsidP="0004592B">
      <w:pPr>
        <w:pStyle w:val="ListParagraph"/>
        <w:numPr>
          <w:ilvl w:val="0"/>
          <w:numId w:val="8"/>
        </w:numPr>
      </w:pPr>
      <w:r w:rsidRPr="00FE5399">
        <w:t>Medical journals</w:t>
      </w:r>
    </w:p>
    <w:p w14:paraId="7214E1EC" w14:textId="77777777" w:rsidR="0004592B" w:rsidRPr="00FE5399" w:rsidRDefault="0004592B" w:rsidP="0004592B">
      <w:pPr>
        <w:pStyle w:val="ListParagraph"/>
        <w:numPr>
          <w:ilvl w:val="0"/>
          <w:numId w:val="8"/>
        </w:numPr>
      </w:pPr>
      <w:r w:rsidRPr="00FE5399">
        <w:t>Newsletters</w:t>
      </w:r>
    </w:p>
    <w:p w14:paraId="262C1C36" w14:textId="77777777" w:rsidR="00365271" w:rsidRPr="00FE5399" w:rsidRDefault="00365271" w:rsidP="0004592B">
      <w:pPr>
        <w:pStyle w:val="ListParagraph"/>
        <w:numPr>
          <w:ilvl w:val="0"/>
          <w:numId w:val="8"/>
        </w:numPr>
      </w:pPr>
      <w:r w:rsidRPr="00FE5399">
        <w:lastRenderedPageBreak/>
        <w:t>Blogs/medical blogs that are widely accessible and consistently publish editorial news coverage, that is not controlled by sponsors/advertisers</w:t>
      </w:r>
    </w:p>
    <w:p w14:paraId="2D936526" w14:textId="77777777" w:rsidR="00E031A5" w:rsidRPr="00E031A5" w:rsidRDefault="00E031A5" w:rsidP="00E031A5">
      <w:pPr>
        <w:ind w:left="45"/>
      </w:pPr>
      <w:r w:rsidRPr="00E031A5">
        <w:t>Please note that access to the EADV Virtual Congress is for members of the medical and professional media only. Members of the consumer media who require access will be considered on a case by case basis.</w:t>
      </w:r>
    </w:p>
    <w:p w14:paraId="054318AA" w14:textId="1BB70130" w:rsidR="00FE5399" w:rsidRDefault="0004592B" w:rsidP="00FE5399">
      <w:r w:rsidRPr="0069635F">
        <w:t xml:space="preserve">Press registration is not available to industry or its public relations representatives, event management, </w:t>
      </w:r>
      <w:r w:rsidR="003C21BD" w:rsidRPr="003C21BD">
        <w:t>media outlet managers</w:t>
      </w:r>
      <w:r w:rsidR="003C21BD">
        <w:t>,</w:t>
      </w:r>
      <w:r w:rsidR="003C21BD" w:rsidRPr="003C21BD">
        <w:t xml:space="preserve"> </w:t>
      </w:r>
      <w:r w:rsidRPr="0069635F">
        <w:t>marketing</w:t>
      </w:r>
      <w:r w:rsidR="003C21BD">
        <w:t>, sales</w:t>
      </w:r>
      <w:r w:rsidRPr="0069635F">
        <w:t xml:space="preserve"> or communications representatives, even if they have a valid press card. Please check the registration page </w:t>
      </w:r>
      <w:r w:rsidR="00E513C6">
        <w:t>(</w:t>
      </w:r>
      <w:hyperlink r:id="rId11" w:history="1">
        <w:r w:rsidR="00E513C6">
          <w:rPr>
            <w:rStyle w:val="Hyperlink"/>
          </w:rPr>
          <w:t>https://eadvvirtualcongress.org/registration/</w:t>
        </w:r>
      </w:hyperlink>
      <w:r w:rsidR="00E513C6">
        <w:rPr>
          <w:rStyle w:val="Hyperlink"/>
        </w:rPr>
        <w:t xml:space="preserve">) </w:t>
      </w:r>
      <w:r w:rsidRPr="0069635F">
        <w:t>to find alternative registration options.</w:t>
      </w:r>
      <w:r w:rsidR="008955B0">
        <w:t xml:space="preserve"> </w:t>
      </w:r>
    </w:p>
    <w:p w14:paraId="7A15EB73" w14:textId="1A660BCB" w:rsidR="008955B0" w:rsidRDefault="008955B0" w:rsidP="00FE5399">
      <w:r>
        <w:t>The EADV ha</w:t>
      </w:r>
      <w:r w:rsidR="00E513C6">
        <w:t>s</w:t>
      </w:r>
      <w:r>
        <w:t xml:space="preserve"> the right to withhold approval of press registration if the applicant and/or the outlet do not satisfy the criteria for press registration or if the media registration form is sent without the required supporting documents/completed registration form. </w:t>
      </w:r>
    </w:p>
    <w:p w14:paraId="35F695BC" w14:textId="77777777" w:rsidR="0004592B" w:rsidRPr="0069635F" w:rsidRDefault="0004592B" w:rsidP="008955B0">
      <w:r w:rsidRPr="0069635F">
        <w:t xml:space="preserve">The decision of the EADV is final regarding all press registration requests. </w:t>
      </w:r>
    </w:p>
    <w:p w14:paraId="4FDB29FC" w14:textId="77777777" w:rsidR="0004592B" w:rsidRPr="0069635F" w:rsidRDefault="0004592B" w:rsidP="0004592B">
      <w:pPr>
        <w:pStyle w:val="Heading1"/>
        <w:rPr>
          <w:lang w:val="en-GB"/>
        </w:rPr>
      </w:pPr>
      <w:bookmarkStart w:id="3" w:name="_Toc50737976"/>
      <w:r w:rsidRPr="0069635F">
        <w:rPr>
          <w:lang w:val="en-GB"/>
        </w:rPr>
        <w:t>Embargo Policy</w:t>
      </w:r>
      <w:bookmarkEnd w:id="3"/>
    </w:p>
    <w:p w14:paraId="25E67679" w14:textId="77777777" w:rsidR="002419F5" w:rsidRPr="0069635F" w:rsidRDefault="002419F5" w:rsidP="002419F5">
      <w:r w:rsidRPr="0069635F">
        <w:t xml:space="preserve">Any media outlet or press representative wishing to attend an EADV event and/or to obtain official press releases from </w:t>
      </w:r>
      <w:r w:rsidR="00135900" w:rsidRPr="0069635F">
        <w:t>EADV</w:t>
      </w:r>
      <w:r w:rsidRPr="0069635F">
        <w:t>, must commit to respecting any and all embargoes set by EADV. Press representatives who receive embargoed material from EADV understand that it is for their individual use and will not distribute the embargoed information to anyone else prior to the embargo release. Embargoed materials include – but are not limited to – original journal articles, abstracts from scientific meetings, written news releases, audio news releases, video news releases,</w:t>
      </w:r>
      <w:r w:rsidR="004C5E68">
        <w:t xml:space="preserve"> interviews,</w:t>
      </w:r>
      <w:r w:rsidRPr="0069635F">
        <w:t xml:space="preserve"> slides and any other materials associated with the scientific information being presented or published.</w:t>
      </w:r>
    </w:p>
    <w:p w14:paraId="155BD634" w14:textId="77777777" w:rsidR="002419F5" w:rsidRPr="0069635F" w:rsidRDefault="002419F5" w:rsidP="002419F5">
      <w:r w:rsidRPr="0069635F">
        <w:t>Embargoed materials as well as results and information related to sessions at any meeting or event organised by EADV, are strictly confidential and cannot be disclosed in any manner or for any purpose prior to the lifting of the embargo by EADV.</w:t>
      </w:r>
    </w:p>
    <w:p w14:paraId="7F353EFC" w14:textId="302CC795" w:rsidR="002419F5" w:rsidRPr="0069635F" w:rsidRDefault="002419F5" w:rsidP="002419F5">
      <w:r w:rsidRPr="0069635F">
        <w:t xml:space="preserve">For all sort of presentations at EADV events, the embargo is lifted with the start of the scientific session in which the concerned presentation/study is scheduled. For any questions related to embargoes, please contact the </w:t>
      </w:r>
      <w:r w:rsidR="004D5B19" w:rsidRPr="00FE5399">
        <w:t xml:space="preserve">EADV </w:t>
      </w:r>
      <w:r w:rsidR="00E513C6">
        <w:t>P</w:t>
      </w:r>
      <w:r w:rsidR="004D5B19" w:rsidRPr="00FE5399">
        <w:t xml:space="preserve">ress </w:t>
      </w:r>
      <w:r w:rsidR="00E513C6">
        <w:t>O</w:t>
      </w:r>
      <w:r w:rsidR="004D5B19" w:rsidRPr="00FE5399">
        <w:t xml:space="preserve">ffice at SAY Communications </w:t>
      </w:r>
      <w:r w:rsidR="00FE5399">
        <w:t>f</w:t>
      </w:r>
      <w:r w:rsidRPr="00FE5399">
        <w:t>or</w:t>
      </w:r>
      <w:r w:rsidRPr="0069635F">
        <w:t xml:space="preserve"> clarification prior to releasing the information</w:t>
      </w:r>
      <w:r w:rsidR="004D5B19">
        <w:t xml:space="preserve"> via</w:t>
      </w:r>
      <w:r w:rsidR="00176E30">
        <w:t xml:space="preserve"> </w:t>
      </w:r>
      <w:hyperlink r:id="rId12" w:history="1">
        <w:r w:rsidR="00FE5399" w:rsidRPr="006000AA">
          <w:rPr>
            <w:rStyle w:val="Hyperlink"/>
          </w:rPr>
          <w:t>EADVmedia@saycomms.co.uk</w:t>
        </w:r>
      </w:hyperlink>
      <w:r w:rsidR="00FE5399">
        <w:t xml:space="preserve">. </w:t>
      </w:r>
      <w:r w:rsidRPr="0069635F">
        <w:t>Abstracts are included in this embargo policy.</w:t>
      </w:r>
    </w:p>
    <w:p w14:paraId="38BE4F4B" w14:textId="77777777" w:rsidR="002419F5" w:rsidRPr="0069635F" w:rsidRDefault="002419F5" w:rsidP="002419F5">
      <w:r w:rsidRPr="0069635F">
        <w:t>Please note that embargoed materials may be protected by copyright and cannot be reproduced without prior permission from the author.</w:t>
      </w:r>
    </w:p>
    <w:p w14:paraId="77F4D2EC" w14:textId="77777777" w:rsidR="002419F5" w:rsidRPr="0069635F" w:rsidRDefault="002419F5" w:rsidP="002419F5">
      <w:r w:rsidRPr="0069635F">
        <w:t>Media outlets and press representatives, are expected to abide by the full EADV media and embargo policy and ensure that any member of staff or any third party acting on their behalf and/or under their authority, comply with the EADV media and embargo policy.</w:t>
      </w:r>
    </w:p>
    <w:p w14:paraId="064CB068" w14:textId="77777777" w:rsidR="002419F5" w:rsidRPr="0069635F" w:rsidRDefault="002419F5" w:rsidP="002419F5">
      <w:r w:rsidRPr="0069635F">
        <w:t xml:space="preserve">Breaking of an EADV embargo by any media outlet, press representative, member of staff or any third party acting on behalf of and/or under the authority of any media outlet or press representative is a contractual breach. The person/entity who released the information (i.e. the press representative who wrote the story/conducted the interview etc.) will be held accountable and will be subjected to the penalties listed below in </w:t>
      </w:r>
      <w:r w:rsidR="00135900" w:rsidRPr="0069635F">
        <w:t>Section 5</w:t>
      </w:r>
      <w:r w:rsidRPr="0069635F">
        <w:t xml:space="preserve">. </w:t>
      </w:r>
    </w:p>
    <w:p w14:paraId="4718453F" w14:textId="77777777" w:rsidR="00520136" w:rsidRPr="0069635F" w:rsidRDefault="002419F5">
      <w:r w:rsidRPr="0069635F">
        <w:lastRenderedPageBreak/>
        <w:t>Should circumstances arise in which publicly traded companies ask to disclose their submitted data prior to the EADV event for legal reasons or in order to comply with Securities and Exchange Commission requirements, the EADV may grant exceptional permission to release specific data. The EADV reserves all rights to determine what information can be released and to decline any request. The disclosure of any additional information, analysis or commentary is strictly forbidden and will be considered a breach of the Embargo Policy.</w:t>
      </w:r>
      <w:r w:rsidR="009F67A7">
        <w:t xml:space="preserve"> These special circumstances must be requested via email to the Head of </w:t>
      </w:r>
      <w:r w:rsidR="00454BDD">
        <w:t>Corporate</w:t>
      </w:r>
      <w:r w:rsidR="009F67A7">
        <w:t xml:space="preserve"> Relations </w:t>
      </w:r>
      <w:hyperlink r:id="rId13" w:history="1">
        <w:r w:rsidR="009F67A7" w:rsidRPr="008B5D08">
          <w:rPr>
            <w:rStyle w:val="Hyperlink"/>
          </w:rPr>
          <w:t>Kimberley.zimmermann@eadv.org</w:t>
        </w:r>
      </w:hyperlink>
      <w:r w:rsidR="009F67A7">
        <w:t>.</w:t>
      </w:r>
    </w:p>
    <w:p w14:paraId="092555F6" w14:textId="77777777" w:rsidR="002419F5" w:rsidRPr="00FE5399" w:rsidRDefault="002948B3" w:rsidP="002948B3">
      <w:pPr>
        <w:pStyle w:val="Heading1"/>
        <w:rPr>
          <w:lang w:val="en-GB"/>
        </w:rPr>
      </w:pPr>
      <w:bookmarkStart w:id="4" w:name="_Toc50737977"/>
      <w:r w:rsidRPr="00FE5399">
        <w:rPr>
          <w:lang w:val="en-GB"/>
        </w:rPr>
        <w:t>Filming, Photography, Recording Rules</w:t>
      </w:r>
      <w:bookmarkEnd w:id="4"/>
      <w:r w:rsidRPr="00FE5399">
        <w:rPr>
          <w:lang w:val="en-GB"/>
        </w:rPr>
        <w:t xml:space="preserve"> </w:t>
      </w:r>
    </w:p>
    <w:p w14:paraId="785F6A32" w14:textId="77777777" w:rsidR="00E416AB" w:rsidRPr="00FE5399" w:rsidRDefault="00AC250E" w:rsidP="00FE5399">
      <w:pPr>
        <w:pStyle w:val="ListParagraph"/>
        <w:numPr>
          <w:ilvl w:val="0"/>
          <w:numId w:val="8"/>
        </w:numPr>
      </w:pPr>
      <w:r>
        <w:t>All digital recordings, v</w:t>
      </w:r>
      <w:r w:rsidR="00E416AB" w:rsidRPr="00FE5399">
        <w:t>ideo or audio recordings</w:t>
      </w:r>
      <w:r w:rsidR="00893A0C">
        <w:t>, online recording tools</w:t>
      </w:r>
      <w:r w:rsidR="00E416AB" w:rsidRPr="00FE5399">
        <w:t xml:space="preserve"> and screenshots are strictly prohibited during a scientific</w:t>
      </w:r>
      <w:r w:rsidR="00E416AB">
        <w:t xml:space="preserve"> </w:t>
      </w:r>
      <w:r w:rsidR="00E416AB" w:rsidRPr="00FE5399">
        <w:t>presentation or session without permission.</w:t>
      </w:r>
    </w:p>
    <w:p w14:paraId="7F7A0A54" w14:textId="77777777" w:rsidR="00E416AB" w:rsidRPr="00FE5399" w:rsidRDefault="00E416AB" w:rsidP="00FE5399">
      <w:pPr>
        <w:pStyle w:val="ListParagraph"/>
        <w:numPr>
          <w:ilvl w:val="0"/>
          <w:numId w:val="8"/>
        </w:numPr>
      </w:pPr>
      <w:r w:rsidRPr="00FE5399">
        <w:t>Photos/recordings taken during an ESC event are subject to protection of intellectual</w:t>
      </w:r>
      <w:r>
        <w:t xml:space="preserve"> </w:t>
      </w:r>
      <w:r w:rsidRPr="00FE5399">
        <w:t xml:space="preserve">property, image and privacy rights. No screenshots or recordings </w:t>
      </w:r>
      <w:r w:rsidR="008751A5">
        <w:t xml:space="preserve">are </w:t>
      </w:r>
      <w:r w:rsidRPr="00FE5399">
        <w:t xml:space="preserve">allowed. </w:t>
      </w:r>
    </w:p>
    <w:p w14:paraId="07EB36A0" w14:textId="77777777" w:rsidR="00E416AB" w:rsidRDefault="00E416AB" w:rsidP="00E416AB">
      <w:pPr>
        <w:pStyle w:val="ListParagraph"/>
        <w:numPr>
          <w:ilvl w:val="0"/>
          <w:numId w:val="8"/>
        </w:numPr>
      </w:pPr>
      <w:r w:rsidRPr="00FE5399">
        <w:t xml:space="preserve">Any video transmission or webcast from an </w:t>
      </w:r>
      <w:r>
        <w:t>EADV</w:t>
      </w:r>
      <w:r w:rsidRPr="00FE5399">
        <w:t xml:space="preserve"> event must adhere to the </w:t>
      </w:r>
      <w:r>
        <w:t>EADV</w:t>
      </w:r>
      <w:r w:rsidRPr="00FE5399">
        <w:t xml:space="preserve"> Media</w:t>
      </w:r>
      <w:r>
        <w:t xml:space="preserve"> </w:t>
      </w:r>
      <w:r w:rsidRPr="00FE5399">
        <w:t>and Embargo</w:t>
      </w:r>
      <w:r>
        <w:t xml:space="preserve"> </w:t>
      </w:r>
      <w:r w:rsidRPr="00FE5399">
        <w:t>Policy and only be published/available online after the start of the</w:t>
      </w:r>
      <w:r>
        <w:t xml:space="preserve"> </w:t>
      </w:r>
      <w:r w:rsidRPr="00FE5399">
        <w:t>scientific session it refers to.</w:t>
      </w:r>
    </w:p>
    <w:p w14:paraId="659B4036" w14:textId="77777777" w:rsidR="00B578C5" w:rsidRPr="00FE5399" w:rsidRDefault="002948B3" w:rsidP="00B578C5">
      <w:pPr>
        <w:pStyle w:val="ListParagraph"/>
        <w:numPr>
          <w:ilvl w:val="0"/>
          <w:numId w:val="8"/>
        </w:numPr>
      </w:pPr>
      <w:r w:rsidRPr="00FE5399">
        <w:t xml:space="preserve">Presenters are the sole proprietors of the content they disclose at </w:t>
      </w:r>
      <w:r w:rsidR="00B578C5" w:rsidRPr="00FE5399">
        <w:t>EADV</w:t>
      </w:r>
      <w:r w:rsidRPr="00FE5399">
        <w:t xml:space="preserve"> events (</w:t>
      </w:r>
      <w:r w:rsidR="0069635F" w:rsidRPr="00FE5399">
        <w:t>data, photographs</w:t>
      </w:r>
      <w:r w:rsidRPr="00FE5399">
        <w:t>, slides, etc.) It is the responsibility of presenters or speakers to notify the audience of any restrictions on photographing</w:t>
      </w:r>
      <w:r w:rsidR="00B578C5" w:rsidRPr="00FE5399">
        <w:t xml:space="preserve"> or video/audio recording</w:t>
      </w:r>
      <w:r w:rsidRPr="00FE5399">
        <w:t xml:space="preserve"> the content they are presenting.  The announcement must be made at the beginning of each presentation. </w:t>
      </w:r>
      <w:r w:rsidR="00D61EA2">
        <w:t xml:space="preserve">Throughout EADV </w:t>
      </w:r>
      <w:r w:rsidR="0031095B">
        <w:t>events</w:t>
      </w:r>
      <w:r w:rsidR="00D61EA2">
        <w:t>, n</w:t>
      </w:r>
      <w:r w:rsidR="00B578C5" w:rsidRPr="00FE5399">
        <w:t xml:space="preserve">o scientific session presenter or exhibitor may be filmed, recorded </w:t>
      </w:r>
      <w:r w:rsidR="00D61EA2">
        <w:t>(audio or visual)</w:t>
      </w:r>
      <w:r w:rsidR="00E416AB">
        <w:t>, screenshots taken</w:t>
      </w:r>
      <w:r w:rsidR="00D61EA2">
        <w:t xml:space="preserve"> </w:t>
      </w:r>
      <w:r w:rsidR="00B578C5" w:rsidRPr="00FE5399">
        <w:t>or photographed</w:t>
      </w:r>
      <w:r w:rsidR="00E97AB9" w:rsidRPr="00FE5399">
        <w:t xml:space="preserve"> </w:t>
      </w:r>
      <w:r w:rsidR="00B578C5" w:rsidRPr="00FE5399">
        <w:t xml:space="preserve">without his/her consent (including the use of smart phones, mobile devices, </w:t>
      </w:r>
      <w:r w:rsidR="00D61EA2">
        <w:t xml:space="preserve">tablets, laptops, </w:t>
      </w:r>
      <w:proofErr w:type="spellStart"/>
      <w:r w:rsidR="00D61EA2">
        <w:t>dictaphones</w:t>
      </w:r>
      <w:proofErr w:type="spellEnd"/>
      <w:r w:rsidR="00D61EA2">
        <w:t xml:space="preserve">, online recoding tools </w:t>
      </w:r>
      <w:r w:rsidR="00B578C5" w:rsidRPr="00FE5399">
        <w:t>etc.).</w:t>
      </w:r>
    </w:p>
    <w:p w14:paraId="0FFB3847" w14:textId="196E793B" w:rsidR="002948B3" w:rsidRPr="00FE5399" w:rsidRDefault="002948B3" w:rsidP="00B578C5">
      <w:pPr>
        <w:pStyle w:val="ListParagraph"/>
        <w:numPr>
          <w:ilvl w:val="0"/>
          <w:numId w:val="8"/>
        </w:numPr>
      </w:pPr>
      <w:r w:rsidRPr="00FE5399">
        <w:t>Media outlets or press representatives who wish to film, take photos</w:t>
      </w:r>
      <w:r w:rsidR="00E416AB">
        <w:t>, screenshots</w:t>
      </w:r>
      <w:r w:rsidRPr="00FE5399">
        <w:t xml:space="preserve"> and/or record</w:t>
      </w:r>
      <w:r w:rsidR="00D61EA2">
        <w:t xml:space="preserve"> (audio or visual)</w:t>
      </w:r>
      <w:r w:rsidRPr="00FE5399">
        <w:t xml:space="preserve"> during </w:t>
      </w:r>
      <w:r w:rsidR="00D61EA2">
        <w:t>all</w:t>
      </w:r>
      <w:r w:rsidR="00E97AB9" w:rsidRPr="00FE5399">
        <w:t xml:space="preserve"> </w:t>
      </w:r>
      <w:r w:rsidRPr="00FE5399">
        <w:t>scientific sessions must have permission to do so</w:t>
      </w:r>
      <w:r w:rsidR="00AC250E">
        <w:t xml:space="preserve"> arranged directly with the speaker</w:t>
      </w:r>
      <w:r w:rsidRPr="00FE5399">
        <w:t>.</w:t>
      </w:r>
      <w:r w:rsidR="00AC250E">
        <w:t xml:space="preserve"> For assistance in your enquiry you can also contact the EADV </w:t>
      </w:r>
      <w:r w:rsidR="00E513C6">
        <w:t>P</w:t>
      </w:r>
      <w:r w:rsidR="00AC250E">
        <w:t xml:space="preserve">ress </w:t>
      </w:r>
      <w:r w:rsidR="00E513C6">
        <w:t>O</w:t>
      </w:r>
      <w:r w:rsidR="00AC250E">
        <w:t xml:space="preserve">ffice via </w:t>
      </w:r>
      <w:hyperlink r:id="rId14" w:history="1">
        <w:r w:rsidR="00AC250E" w:rsidRPr="004C18C6">
          <w:rPr>
            <w:rStyle w:val="Hyperlink"/>
          </w:rPr>
          <w:t>EADVmedia@saycomms.co.uk</w:t>
        </w:r>
      </w:hyperlink>
      <w:r w:rsidR="00AC250E">
        <w:t xml:space="preserve"> </w:t>
      </w:r>
      <w:r w:rsidR="00AC250E" w:rsidRPr="00AC250E">
        <w:t>with the specific session and request</w:t>
      </w:r>
      <w:r w:rsidR="00AC250E">
        <w:t>.</w:t>
      </w:r>
    </w:p>
    <w:p w14:paraId="33AABB68" w14:textId="77777777" w:rsidR="002948B3" w:rsidRPr="00FE5399" w:rsidRDefault="002948B3" w:rsidP="00B578C5">
      <w:pPr>
        <w:pStyle w:val="ListParagraph"/>
        <w:numPr>
          <w:ilvl w:val="0"/>
          <w:numId w:val="8"/>
        </w:numPr>
      </w:pPr>
      <w:r w:rsidRPr="00FE5399">
        <w:t xml:space="preserve">Commercial use of images taken at </w:t>
      </w:r>
      <w:r w:rsidR="00D61EA2">
        <w:t xml:space="preserve">any </w:t>
      </w:r>
      <w:r w:rsidR="00B578C5" w:rsidRPr="00FE5399">
        <w:t>EADV</w:t>
      </w:r>
      <w:r w:rsidRPr="00FE5399">
        <w:t xml:space="preserve"> events is strictly forbidden.</w:t>
      </w:r>
    </w:p>
    <w:p w14:paraId="37E466CA" w14:textId="77777777" w:rsidR="002948B3" w:rsidRPr="00FE5399" w:rsidRDefault="002948B3" w:rsidP="00B578C5">
      <w:pPr>
        <w:pStyle w:val="ListParagraph"/>
        <w:numPr>
          <w:ilvl w:val="0"/>
          <w:numId w:val="8"/>
        </w:numPr>
      </w:pPr>
      <w:r w:rsidRPr="00FE5399">
        <w:t>Any public dissemination of photos</w:t>
      </w:r>
      <w:r w:rsidR="00D61EA2">
        <w:t>, recordings</w:t>
      </w:r>
      <w:r w:rsidRPr="00FE5399">
        <w:t xml:space="preserve"> or videos taken at an </w:t>
      </w:r>
      <w:r w:rsidR="00B578C5" w:rsidRPr="00FE5399">
        <w:t>EADV</w:t>
      </w:r>
      <w:r w:rsidRPr="00FE5399">
        <w:t xml:space="preserve"> </w:t>
      </w:r>
      <w:r w:rsidR="00D61EA2">
        <w:t xml:space="preserve">event </w:t>
      </w:r>
      <w:r w:rsidRPr="00FE5399">
        <w:t xml:space="preserve">must include the </w:t>
      </w:r>
      <w:r w:rsidR="006925EB">
        <w:t xml:space="preserve">name of the specific </w:t>
      </w:r>
      <w:r w:rsidRPr="00FE5399">
        <w:t>event</w:t>
      </w:r>
      <w:r w:rsidR="006925EB">
        <w:t xml:space="preserve"> as a credit</w:t>
      </w:r>
      <w:r w:rsidRPr="00FE5399">
        <w:t>.</w:t>
      </w:r>
    </w:p>
    <w:p w14:paraId="50481D56" w14:textId="77777777" w:rsidR="002948B3" w:rsidRPr="00FE5399" w:rsidRDefault="002948B3" w:rsidP="00B578C5">
      <w:pPr>
        <w:pStyle w:val="ListParagraph"/>
        <w:numPr>
          <w:ilvl w:val="0"/>
          <w:numId w:val="8"/>
        </w:numPr>
      </w:pPr>
      <w:r w:rsidRPr="00FE5399">
        <w:t xml:space="preserve">The official </w:t>
      </w:r>
      <w:r w:rsidR="00B578C5" w:rsidRPr="00FE5399">
        <w:t>EADV</w:t>
      </w:r>
      <w:r w:rsidRPr="00FE5399">
        <w:t xml:space="preserve"> trademark and/or logo may not be added without </w:t>
      </w:r>
      <w:r w:rsidR="00B578C5" w:rsidRPr="00FE5399">
        <w:t>EADV</w:t>
      </w:r>
      <w:r w:rsidRPr="00FE5399">
        <w:t xml:space="preserve"> prior written approval.</w:t>
      </w:r>
    </w:p>
    <w:p w14:paraId="799A50CB" w14:textId="77777777" w:rsidR="002948B3" w:rsidRPr="00FE5399" w:rsidRDefault="002948B3" w:rsidP="00B578C5">
      <w:pPr>
        <w:pStyle w:val="ListParagraph"/>
        <w:numPr>
          <w:ilvl w:val="0"/>
          <w:numId w:val="8"/>
        </w:numPr>
      </w:pPr>
      <w:r w:rsidRPr="00FE5399">
        <w:t xml:space="preserve">Any video transmission or webcast from an </w:t>
      </w:r>
      <w:r w:rsidR="00B578C5" w:rsidRPr="00FE5399">
        <w:t>EADV</w:t>
      </w:r>
      <w:r w:rsidRPr="00FE5399">
        <w:t xml:space="preserve"> </w:t>
      </w:r>
      <w:r w:rsidR="00E97AB9" w:rsidRPr="00FE5399">
        <w:t xml:space="preserve">virtual </w:t>
      </w:r>
      <w:r w:rsidRPr="00FE5399">
        <w:t>event must adhere to the Embargo Policy.</w:t>
      </w:r>
    </w:p>
    <w:p w14:paraId="301A72CF" w14:textId="5A2B3117" w:rsidR="002948B3" w:rsidRPr="00FE5399" w:rsidRDefault="002948B3" w:rsidP="00B578C5">
      <w:pPr>
        <w:pStyle w:val="ListParagraph"/>
        <w:numPr>
          <w:ilvl w:val="0"/>
          <w:numId w:val="8"/>
        </w:numPr>
      </w:pPr>
      <w:r w:rsidRPr="00FE5399">
        <w:t xml:space="preserve">The </w:t>
      </w:r>
      <w:r w:rsidR="00B578C5" w:rsidRPr="00FE5399">
        <w:t>EADV</w:t>
      </w:r>
      <w:r w:rsidRPr="00FE5399">
        <w:t xml:space="preserve"> will </w:t>
      </w:r>
      <w:r w:rsidR="00893A0C">
        <w:t>provide a</w:t>
      </w:r>
      <w:r w:rsidRPr="00FE5399">
        <w:t xml:space="preserve"> filming/photo pass, for a specific time </w:t>
      </w:r>
      <w:r w:rsidR="00E97AB9" w:rsidRPr="00FE5399">
        <w:t>/ scientific session</w:t>
      </w:r>
      <w:r w:rsidRPr="00FE5399">
        <w:t xml:space="preserve">. Please contact </w:t>
      </w:r>
      <w:r w:rsidR="00E513C6">
        <w:t xml:space="preserve">the EADV Press Office via </w:t>
      </w:r>
      <w:hyperlink r:id="rId15" w:history="1">
        <w:r w:rsidR="00E513C6" w:rsidRPr="00174A8F">
          <w:rPr>
            <w:rStyle w:val="Hyperlink"/>
          </w:rPr>
          <w:t>EADVmedia@saycomms.co.uk</w:t>
        </w:r>
      </w:hyperlink>
      <w:r w:rsidR="00FE5399">
        <w:t xml:space="preserve"> </w:t>
      </w:r>
      <w:r w:rsidRPr="00FE5399">
        <w:t>to get the permission. Please note that all slides are copyrighted material and cannot be reproduced without prior permission from the author.</w:t>
      </w:r>
    </w:p>
    <w:p w14:paraId="01B33ACE" w14:textId="77777777" w:rsidR="00FC2F1C" w:rsidRDefault="00B578C5" w:rsidP="00FC2F1C">
      <w:pPr>
        <w:pStyle w:val="ListParagraph"/>
        <w:numPr>
          <w:ilvl w:val="0"/>
          <w:numId w:val="8"/>
        </w:numPr>
      </w:pPr>
      <w:r w:rsidRPr="00FE5399">
        <w:t>The EADV</w:t>
      </w:r>
      <w:r w:rsidR="002948B3" w:rsidRPr="00FE5399">
        <w:t xml:space="preserve"> will approve requests on a case-by-case basis. Only registered media outlets or press representatives will be allowed to film, take photos and/or record at </w:t>
      </w:r>
      <w:r w:rsidR="0031095B">
        <w:t>any</w:t>
      </w:r>
      <w:r w:rsidR="00E97AB9" w:rsidRPr="00FE5399">
        <w:t xml:space="preserve"> </w:t>
      </w:r>
      <w:r w:rsidRPr="00FE5399">
        <w:t>EADV</w:t>
      </w:r>
      <w:r w:rsidR="002948B3" w:rsidRPr="00FE5399">
        <w:t xml:space="preserve"> events.</w:t>
      </w:r>
    </w:p>
    <w:p w14:paraId="53E3AEE0" w14:textId="77777777" w:rsidR="002948B3" w:rsidRDefault="00FC2F1C" w:rsidP="00FC2F1C">
      <w:pPr>
        <w:pStyle w:val="ListParagraph"/>
        <w:numPr>
          <w:ilvl w:val="0"/>
          <w:numId w:val="8"/>
        </w:numPr>
      </w:pPr>
      <w:r>
        <w:t>Commercial use of images, videos, recordings taken at EADV events is strictly forbidden.</w:t>
      </w:r>
    </w:p>
    <w:p w14:paraId="60B8B080" w14:textId="77777777" w:rsidR="00BC7CCA" w:rsidRPr="00FE5399" w:rsidRDefault="00BC7CCA" w:rsidP="00BC7CCA">
      <w:pPr>
        <w:pStyle w:val="ListParagraph"/>
        <w:numPr>
          <w:ilvl w:val="0"/>
          <w:numId w:val="8"/>
        </w:numPr>
      </w:pPr>
      <w:r>
        <w:t>Industry representatives or public relations/communication agencies organising Industry Press Conferences, Industry-sponsored sessions and/or meetings at EADV events are responsible for protecting their content and enforcing their rules.</w:t>
      </w:r>
    </w:p>
    <w:p w14:paraId="28580946" w14:textId="77777777" w:rsidR="002948B3" w:rsidRPr="0069635F" w:rsidRDefault="002948B3" w:rsidP="002948B3">
      <w:r w:rsidRPr="0069635F">
        <w:t xml:space="preserve">Media outlets and press representatives, are expected to abide by the full </w:t>
      </w:r>
      <w:r w:rsidR="00B578C5" w:rsidRPr="0069635F">
        <w:t xml:space="preserve">EADV </w:t>
      </w:r>
      <w:r w:rsidRPr="0069635F">
        <w:t xml:space="preserve">media and embargo policy, including the filming/photography/recording </w:t>
      </w:r>
      <w:r w:rsidR="0031095B">
        <w:t xml:space="preserve">(audio or visual) </w:t>
      </w:r>
      <w:r w:rsidRPr="0069635F">
        <w:t>policy</w:t>
      </w:r>
      <w:r w:rsidR="00B578C5" w:rsidRPr="0069635F">
        <w:t xml:space="preserve"> and logo policy</w:t>
      </w:r>
      <w:r w:rsidR="00E97AB9">
        <w:t xml:space="preserve"> for </w:t>
      </w:r>
      <w:r w:rsidR="0031095B">
        <w:t xml:space="preserve">EADV </w:t>
      </w:r>
      <w:r w:rsidR="00E97AB9">
        <w:t>event</w:t>
      </w:r>
      <w:r w:rsidR="0031095B">
        <w:t>s</w:t>
      </w:r>
      <w:r w:rsidRPr="0069635F">
        <w:t xml:space="preserve">, and </w:t>
      </w:r>
      <w:r w:rsidRPr="0069635F">
        <w:lastRenderedPageBreak/>
        <w:t xml:space="preserve">to make sure that any member of staff or any third party acting on their behalf and/or under their authority, comply with the said </w:t>
      </w:r>
      <w:r w:rsidR="00B578C5" w:rsidRPr="0069635F">
        <w:t>EADV</w:t>
      </w:r>
      <w:r w:rsidRPr="0069635F">
        <w:t xml:space="preserve"> media and embargo policy.</w:t>
      </w:r>
    </w:p>
    <w:p w14:paraId="5468960C" w14:textId="77777777" w:rsidR="00520136" w:rsidRPr="0069635F" w:rsidRDefault="00B578C5">
      <w:r w:rsidRPr="0069635F">
        <w:t>Breaking of the Photo / Video / Audio Recording Rules by any media outlet, press</w:t>
      </w:r>
      <w:r w:rsidR="00135900" w:rsidRPr="0069635F">
        <w:t xml:space="preserve"> </w:t>
      </w:r>
      <w:r w:rsidRPr="0069635F">
        <w:t>representative, member of staff or any third party acting on behalf of and/or under the authority of any media outlet or press representative is a contractual breach that may lead to sanctions under the conditions set forth in section 5.</w:t>
      </w:r>
    </w:p>
    <w:p w14:paraId="4B513F79" w14:textId="77777777" w:rsidR="002948B3" w:rsidRPr="0069635F" w:rsidRDefault="00B578C5" w:rsidP="00B578C5">
      <w:pPr>
        <w:pStyle w:val="Heading1"/>
        <w:rPr>
          <w:lang w:val="en-GB"/>
        </w:rPr>
      </w:pPr>
      <w:bookmarkStart w:id="5" w:name="_Toc50737978"/>
      <w:r w:rsidRPr="0069635F">
        <w:rPr>
          <w:lang w:val="en-GB"/>
        </w:rPr>
        <w:t>Terminat</w:t>
      </w:r>
      <w:r w:rsidR="00135900" w:rsidRPr="0069635F">
        <w:rPr>
          <w:lang w:val="en-GB"/>
        </w:rPr>
        <w:t>ion and/or revocation of Media C</w:t>
      </w:r>
      <w:r w:rsidRPr="0069635F">
        <w:rPr>
          <w:lang w:val="en-GB"/>
        </w:rPr>
        <w:t>redentials</w:t>
      </w:r>
      <w:bookmarkEnd w:id="5"/>
    </w:p>
    <w:p w14:paraId="06FCDB21" w14:textId="77777777" w:rsidR="00135900" w:rsidRPr="0069635F" w:rsidRDefault="00135900" w:rsidP="00135900">
      <w:r w:rsidRPr="0069635F">
        <w:t>It is agreed that press representatives are responsible for their actions during EADV events and for those of any third party acting on their behalf and/or under their authority, whether on site or offsite, and for any publication or other communication containing results and information related to an EADV event</w:t>
      </w:r>
      <w:r w:rsidR="00C3222A">
        <w:t xml:space="preserve"> (including virtual)</w:t>
      </w:r>
      <w:r w:rsidRPr="0069635F">
        <w:t>. Media outlets are also responsible for the action of the press representative, staff and any third party acting on their behalf and/or under their authority and for any publication containing results and information related to an</w:t>
      </w:r>
      <w:r w:rsidR="0031095B">
        <w:t>y</w:t>
      </w:r>
      <w:r w:rsidRPr="0069635F">
        <w:t xml:space="preserve"> EADV Event.</w:t>
      </w:r>
    </w:p>
    <w:p w14:paraId="2D6F301F" w14:textId="77777777" w:rsidR="00135900" w:rsidRPr="0069635F" w:rsidRDefault="00135900" w:rsidP="00135900">
      <w:r w:rsidRPr="0069635F">
        <w:t>Consequently, in the event of a breach of any provision of the present EADV media and embargo policy by any media outlet, press representative, member of staff or any third party acting on behalf of and/or under the authority of any media outlet or press representative, EADV reserves the right to terminate immediately, without notice and without prejudice to any claim for damages or other remedy by any third party, the agreement given to any registered participant and their representatives to attend an EADV event</w:t>
      </w:r>
      <w:r w:rsidR="00C3222A">
        <w:t xml:space="preserve"> (including virtual)</w:t>
      </w:r>
      <w:r w:rsidRPr="0069635F">
        <w:t>.</w:t>
      </w:r>
    </w:p>
    <w:p w14:paraId="1D95D268" w14:textId="77777777" w:rsidR="00135900" w:rsidRPr="0069635F" w:rsidRDefault="00135900" w:rsidP="00135900">
      <w:r w:rsidRPr="0069635F">
        <w:t>Breaking of any provision of the EADV Media and Embargo Policy by any media outlet, press representative, member of staff or any third party acting on behalf of and/or under the authority of any media outlet or press representative is a contractual breach that may also lead to:</w:t>
      </w:r>
    </w:p>
    <w:p w14:paraId="17B59BA7" w14:textId="77777777" w:rsidR="00135900" w:rsidRPr="0069635F" w:rsidRDefault="00135900" w:rsidP="00135900">
      <w:pPr>
        <w:pStyle w:val="ListParagraph"/>
        <w:numPr>
          <w:ilvl w:val="0"/>
          <w:numId w:val="9"/>
        </w:numPr>
      </w:pPr>
      <w:r w:rsidRPr="0069635F">
        <w:t>Immediate suspension of the press representative’s media credentials</w:t>
      </w:r>
    </w:p>
    <w:p w14:paraId="2D210E2A" w14:textId="77777777" w:rsidR="00135900" w:rsidRPr="0069635F" w:rsidRDefault="00135900" w:rsidP="00135900">
      <w:pPr>
        <w:pStyle w:val="ListParagraph"/>
        <w:numPr>
          <w:ilvl w:val="0"/>
          <w:numId w:val="9"/>
        </w:numPr>
      </w:pPr>
      <w:r w:rsidRPr="0069635F">
        <w:t xml:space="preserve">Immediate barring of the press representative from the </w:t>
      </w:r>
      <w:r w:rsidR="00C3222A">
        <w:t>virtual event</w:t>
      </w:r>
    </w:p>
    <w:p w14:paraId="68293972" w14:textId="77777777" w:rsidR="00135900" w:rsidRPr="0069635F" w:rsidRDefault="00135900" w:rsidP="00504AB6">
      <w:pPr>
        <w:pStyle w:val="ListParagraph"/>
        <w:numPr>
          <w:ilvl w:val="0"/>
          <w:numId w:val="9"/>
        </w:numPr>
      </w:pPr>
      <w:r w:rsidRPr="0069635F">
        <w:t>Removal of the press representative’s name and/or of its media outlet from the EADV Press distribution list for two years or more starting from the time of the EADV Media and Embargo Policy break</w:t>
      </w:r>
    </w:p>
    <w:p w14:paraId="108DC29A" w14:textId="77777777" w:rsidR="00135900" w:rsidRPr="0069635F" w:rsidRDefault="00135900" w:rsidP="00504AB6">
      <w:pPr>
        <w:pStyle w:val="ListParagraph"/>
        <w:numPr>
          <w:ilvl w:val="0"/>
          <w:numId w:val="9"/>
        </w:numPr>
      </w:pPr>
      <w:r w:rsidRPr="0069635F">
        <w:t>No access for the press representative to any EADV event</w:t>
      </w:r>
      <w:r w:rsidR="00C3222A">
        <w:t xml:space="preserve"> (virtual or otherwise)</w:t>
      </w:r>
      <w:r w:rsidRPr="0069635F">
        <w:t xml:space="preserve"> for two years or more starting from the time of the EADV Media and Embargo Policy break</w:t>
      </w:r>
    </w:p>
    <w:p w14:paraId="296F4EE9" w14:textId="77777777" w:rsidR="00135900" w:rsidRPr="0069635F" w:rsidRDefault="00135900" w:rsidP="00504AB6">
      <w:pPr>
        <w:pStyle w:val="ListParagraph"/>
        <w:numPr>
          <w:ilvl w:val="0"/>
          <w:numId w:val="9"/>
        </w:numPr>
      </w:pPr>
      <w:r w:rsidRPr="0069635F">
        <w:t>No access for any press representative from the offending media to any EADV Event</w:t>
      </w:r>
      <w:r w:rsidR="00C3222A">
        <w:t xml:space="preserve"> (including virtual)</w:t>
      </w:r>
      <w:r w:rsidRPr="0069635F">
        <w:t xml:space="preserve"> for two years or more starting from the time of the EADV Media and Embargo Policy break</w:t>
      </w:r>
    </w:p>
    <w:p w14:paraId="2E3306A1" w14:textId="77777777" w:rsidR="00135900" w:rsidRPr="0069635F" w:rsidRDefault="00135900" w:rsidP="00504AB6">
      <w:pPr>
        <w:pStyle w:val="ListParagraph"/>
        <w:numPr>
          <w:ilvl w:val="0"/>
          <w:numId w:val="9"/>
        </w:numPr>
      </w:pPr>
      <w:r w:rsidRPr="0069635F">
        <w:t xml:space="preserve">The EADV may communicate the EADV Media and Embargo Policy break and sanctions to its media lists </w:t>
      </w:r>
    </w:p>
    <w:p w14:paraId="76921AFD" w14:textId="77777777" w:rsidR="00135900" w:rsidRPr="0069635F" w:rsidRDefault="00135900" w:rsidP="00504AB6">
      <w:pPr>
        <w:pStyle w:val="ListParagraph"/>
        <w:numPr>
          <w:ilvl w:val="0"/>
          <w:numId w:val="9"/>
        </w:numPr>
      </w:pPr>
      <w:r w:rsidRPr="0069635F">
        <w:t>And any other measure deemed appropriate to preserve EADV rights (or member rights), without prejudice to any claim for damages or other remedy by any third party</w:t>
      </w:r>
    </w:p>
    <w:p w14:paraId="5E224735" w14:textId="77777777" w:rsidR="00135900" w:rsidRPr="0069635F" w:rsidRDefault="00135900" w:rsidP="00135900">
      <w:r w:rsidRPr="0069635F">
        <w:lastRenderedPageBreak/>
        <w:t>The absence of termination of the agreement and/or of any sanction from EADV does not constitute an acknowledgment of the media outlet or press representative misconduct and EADV reserves the right to proceed to the said termination and/or sanction at any time.</w:t>
      </w:r>
    </w:p>
    <w:p w14:paraId="64129A49" w14:textId="77777777" w:rsidR="00520136" w:rsidRPr="0069635F" w:rsidRDefault="00135900">
      <w:r w:rsidRPr="0069635F">
        <w:t>All matters arising from or connected with the compliance to the EADV media and embargo policy will be governed by Swiss Law, without reference to the conflict of laws principles. Any dispute arising out of this commitment shall be brought before the court in Switzerland.</w:t>
      </w:r>
    </w:p>
    <w:p w14:paraId="38B5E126" w14:textId="77777777" w:rsidR="00B578C5" w:rsidRPr="0069635F" w:rsidRDefault="00504AB6" w:rsidP="00504AB6">
      <w:pPr>
        <w:pStyle w:val="Heading1"/>
        <w:rPr>
          <w:lang w:val="en-GB"/>
        </w:rPr>
      </w:pPr>
      <w:bookmarkStart w:id="6" w:name="_Toc50737979"/>
      <w:r w:rsidRPr="0069635F">
        <w:rPr>
          <w:lang w:val="en-GB"/>
        </w:rPr>
        <w:t>Acceptance of Media</w:t>
      </w:r>
      <w:bookmarkEnd w:id="6"/>
    </w:p>
    <w:p w14:paraId="348B4799" w14:textId="77777777" w:rsidR="0069635F" w:rsidRPr="0069635F" w:rsidRDefault="00D66399" w:rsidP="0069635F">
      <w:r w:rsidRPr="0069635F">
        <w:t xml:space="preserve">I have read and been informed about the EADV Media and Embargo policy and agree to abide by the policy guidelines as a condition </w:t>
      </w:r>
      <w:r w:rsidR="0069635F" w:rsidRPr="0069635F">
        <w:t xml:space="preserve">to attend the EADV events </w:t>
      </w:r>
      <w:r w:rsidR="00C3222A">
        <w:t xml:space="preserve">(including virtual) </w:t>
      </w:r>
      <w:r w:rsidR="0069635F" w:rsidRPr="0069635F">
        <w:t xml:space="preserve">as media outlet or press representative (journalists, reporters, </w:t>
      </w:r>
      <w:r w:rsidR="0031095B">
        <w:t xml:space="preserve">bloggers, </w:t>
      </w:r>
      <w:r w:rsidR="0069635F" w:rsidRPr="0069635F">
        <w:t xml:space="preserve">photographers, </w:t>
      </w:r>
      <w:r w:rsidR="0031095B">
        <w:t xml:space="preserve">videographers </w:t>
      </w:r>
      <w:r w:rsidR="0069635F" w:rsidRPr="0069635F">
        <w:t>etc.). Signing of the EADV Media and Embargo Policy is a prerequisite for Press registration (online)</w:t>
      </w:r>
    </w:p>
    <w:p w14:paraId="5E46756C" w14:textId="77777777" w:rsidR="00504AB6" w:rsidRPr="0069635F" w:rsidRDefault="00504AB6" w:rsidP="00D66399"/>
    <w:tbl>
      <w:tblPr>
        <w:tblW w:w="9356" w:type="dxa"/>
        <w:tblLook w:val="04A0" w:firstRow="1" w:lastRow="0" w:firstColumn="1" w:lastColumn="0" w:noHBand="0" w:noVBand="1"/>
      </w:tblPr>
      <w:tblGrid>
        <w:gridCol w:w="1510"/>
        <w:gridCol w:w="1547"/>
        <w:gridCol w:w="1824"/>
        <w:gridCol w:w="1521"/>
        <w:gridCol w:w="1568"/>
        <w:gridCol w:w="1386"/>
      </w:tblGrid>
      <w:tr w:rsidR="00504AB6" w:rsidRPr="0069635F" w14:paraId="66371B2C" w14:textId="77777777" w:rsidTr="00504AB6">
        <w:trPr>
          <w:trHeight w:val="368"/>
        </w:trPr>
        <w:tc>
          <w:tcPr>
            <w:tcW w:w="1510" w:type="dxa"/>
            <w:shd w:val="clear" w:color="auto" w:fill="auto"/>
            <w:vAlign w:val="center"/>
          </w:tcPr>
          <w:p w14:paraId="50139CF4" w14:textId="77777777" w:rsidR="00504AB6" w:rsidRPr="0069635F" w:rsidRDefault="00504AB6" w:rsidP="00504AB6">
            <w:pPr>
              <w:spacing w:after="0" w:line="240" w:lineRule="auto"/>
              <w:ind w:left="-108"/>
              <w:contextualSpacing/>
            </w:pPr>
            <w:r w:rsidRPr="0069635F">
              <w:t>Title:</w:t>
            </w:r>
          </w:p>
        </w:tc>
        <w:tc>
          <w:tcPr>
            <w:tcW w:w="1547" w:type="dxa"/>
            <w:shd w:val="clear" w:color="auto" w:fill="auto"/>
          </w:tcPr>
          <w:p w14:paraId="1B792BFD" w14:textId="49514C5C" w:rsidR="00504AB6" w:rsidRPr="0069635F" w:rsidRDefault="00504AB6" w:rsidP="00504AB6">
            <w:pPr>
              <w:autoSpaceDE w:val="0"/>
              <w:autoSpaceDN w:val="0"/>
              <w:adjustRightInd w:val="0"/>
              <w:spacing w:after="0" w:line="240" w:lineRule="auto"/>
              <w:contextualSpacing/>
            </w:pPr>
            <w:r w:rsidRPr="0069635F">
              <w:object w:dxaOrig="225" w:dyaOrig="225" w14:anchorId="0C2910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9pt;height:16pt" o:ole="">
                  <v:imagedata r:id="rId16" o:title=""/>
                </v:shape>
                <w:control r:id="rId17" w:name="Aesthetics222124" w:shapeid="_x0000_i1033"/>
              </w:object>
            </w:r>
          </w:p>
        </w:tc>
        <w:tc>
          <w:tcPr>
            <w:tcW w:w="1824" w:type="dxa"/>
            <w:shd w:val="clear" w:color="auto" w:fill="auto"/>
          </w:tcPr>
          <w:p w14:paraId="1299393E" w14:textId="7784B04A" w:rsidR="00504AB6" w:rsidRPr="0069635F" w:rsidRDefault="00504AB6" w:rsidP="00504AB6">
            <w:pPr>
              <w:autoSpaceDE w:val="0"/>
              <w:autoSpaceDN w:val="0"/>
              <w:adjustRightInd w:val="0"/>
              <w:spacing w:after="0" w:line="240" w:lineRule="auto"/>
              <w:contextualSpacing/>
            </w:pPr>
            <w:r w:rsidRPr="0069635F">
              <w:object w:dxaOrig="225" w:dyaOrig="225" w14:anchorId="1E767100">
                <v:shape id="_x0000_i1035" type="#_x0000_t75" style="width:39pt;height:16pt" o:ole="">
                  <v:imagedata r:id="rId18" o:title=""/>
                </v:shape>
                <w:control r:id="rId19" w:name="Aesthetics2221211" w:shapeid="_x0000_i1035"/>
              </w:object>
            </w:r>
          </w:p>
        </w:tc>
        <w:tc>
          <w:tcPr>
            <w:tcW w:w="1521" w:type="dxa"/>
            <w:shd w:val="clear" w:color="auto" w:fill="auto"/>
            <w:vAlign w:val="center"/>
          </w:tcPr>
          <w:p w14:paraId="1B35B912" w14:textId="77777777" w:rsidR="00504AB6" w:rsidRPr="0069635F" w:rsidRDefault="00504AB6" w:rsidP="00504AB6">
            <w:pPr>
              <w:autoSpaceDE w:val="0"/>
              <w:autoSpaceDN w:val="0"/>
              <w:adjustRightInd w:val="0"/>
              <w:spacing w:after="0" w:line="240" w:lineRule="auto"/>
              <w:contextualSpacing/>
            </w:pPr>
            <w:r w:rsidRPr="0069635F">
              <w:t>Gender:</w:t>
            </w:r>
            <w:r w:rsidRPr="0069635F">
              <w:tab/>
            </w:r>
          </w:p>
        </w:tc>
        <w:tc>
          <w:tcPr>
            <w:tcW w:w="1568" w:type="dxa"/>
            <w:shd w:val="clear" w:color="auto" w:fill="auto"/>
          </w:tcPr>
          <w:p w14:paraId="7709AE32" w14:textId="0C968242" w:rsidR="00504AB6" w:rsidRPr="0069635F" w:rsidRDefault="00504AB6" w:rsidP="00504AB6">
            <w:pPr>
              <w:autoSpaceDE w:val="0"/>
              <w:autoSpaceDN w:val="0"/>
              <w:adjustRightInd w:val="0"/>
              <w:spacing w:after="0" w:line="240" w:lineRule="auto"/>
              <w:contextualSpacing/>
            </w:pPr>
            <w:r w:rsidRPr="0069635F">
              <w:object w:dxaOrig="225" w:dyaOrig="225" w14:anchorId="40D9CF63">
                <v:shape id="_x0000_i1037" type="#_x0000_t75" style="width:39pt;height:16pt" o:ole="">
                  <v:imagedata r:id="rId20" o:title=""/>
                </v:shape>
                <w:control r:id="rId21" w:name="Aesthetics2221221" w:shapeid="_x0000_i1037"/>
              </w:object>
            </w:r>
          </w:p>
        </w:tc>
        <w:tc>
          <w:tcPr>
            <w:tcW w:w="1386" w:type="dxa"/>
            <w:shd w:val="clear" w:color="auto" w:fill="auto"/>
          </w:tcPr>
          <w:p w14:paraId="496C9904" w14:textId="5573D680" w:rsidR="00504AB6" w:rsidRPr="0069635F" w:rsidRDefault="00504AB6" w:rsidP="00504AB6">
            <w:pPr>
              <w:autoSpaceDE w:val="0"/>
              <w:autoSpaceDN w:val="0"/>
              <w:adjustRightInd w:val="0"/>
              <w:spacing w:after="0" w:line="240" w:lineRule="auto"/>
              <w:contextualSpacing/>
            </w:pPr>
            <w:r w:rsidRPr="0069635F">
              <w:object w:dxaOrig="225" w:dyaOrig="225" w14:anchorId="7EF5E041">
                <v:shape id="_x0000_i1039" type="#_x0000_t75" style="width:58.5pt;height:16pt" o:ole="">
                  <v:imagedata r:id="rId22" o:title=""/>
                </v:shape>
                <w:control r:id="rId23" w:name="Aesthetics2221231" w:shapeid="_x0000_i1039"/>
              </w:object>
            </w:r>
          </w:p>
        </w:tc>
      </w:tr>
      <w:tr w:rsidR="00504AB6" w:rsidRPr="0069635F" w14:paraId="6CAAF03C" w14:textId="77777777" w:rsidTr="00504AB6">
        <w:trPr>
          <w:trHeight w:val="397"/>
        </w:trPr>
        <w:tc>
          <w:tcPr>
            <w:tcW w:w="1510" w:type="dxa"/>
            <w:shd w:val="clear" w:color="auto" w:fill="auto"/>
            <w:vAlign w:val="center"/>
          </w:tcPr>
          <w:p w14:paraId="6B1A5653" w14:textId="77777777" w:rsidR="00504AB6" w:rsidRPr="0069635F" w:rsidRDefault="00504AB6" w:rsidP="00504AB6">
            <w:pPr>
              <w:autoSpaceDE w:val="0"/>
              <w:autoSpaceDN w:val="0"/>
              <w:adjustRightInd w:val="0"/>
              <w:spacing w:after="0" w:line="240" w:lineRule="auto"/>
              <w:ind w:left="-108"/>
              <w:contextualSpacing/>
            </w:pPr>
            <w:r w:rsidRPr="0069635F">
              <w:t>Email address:</w:t>
            </w:r>
          </w:p>
        </w:tc>
        <w:tc>
          <w:tcPr>
            <w:tcW w:w="7846" w:type="dxa"/>
            <w:gridSpan w:val="5"/>
            <w:tcBorders>
              <w:bottom w:val="single" w:sz="4" w:space="0" w:color="auto"/>
            </w:tcBorders>
            <w:shd w:val="clear" w:color="auto" w:fill="auto"/>
            <w:vAlign w:val="center"/>
          </w:tcPr>
          <w:p w14:paraId="6C6EAB35" w14:textId="77777777" w:rsidR="00504AB6" w:rsidRPr="0069635F" w:rsidRDefault="00504AB6" w:rsidP="00504AB6">
            <w:pPr>
              <w:autoSpaceDE w:val="0"/>
              <w:autoSpaceDN w:val="0"/>
              <w:adjustRightInd w:val="0"/>
              <w:spacing w:after="0" w:line="240" w:lineRule="auto"/>
              <w:contextualSpacing/>
            </w:pPr>
          </w:p>
        </w:tc>
      </w:tr>
      <w:tr w:rsidR="00504AB6" w:rsidRPr="0069635F" w14:paraId="0AE98889" w14:textId="77777777" w:rsidTr="00504AB6">
        <w:trPr>
          <w:trHeight w:val="397"/>
        </w:trPr>
        <w:tc>
          <w:tcPr>
            <w:tcW w:w="1510" w:type="dxa"/>
            <w:shd w:val="clear" w:color="auto" w:fill="auto"/>
            <w:vAlign w:val="center"/>
          </w:tcPr>
          <w:p w14:paraId="74CF21DC" w14:textId="77777777" w:rsidR="00504AB6" w:rsidRPr="0069635F" w:rsidRDefault="00504AB6" w:rsidP="00504AB6">
            <w:pPr>
              <w:autoSpaceDE w:val="0"/>
              <w:autoSpaceDN w:val="0"/>
              <w:adjustRightInd w:val="0"/>
              <w:spacing w:after="0" w:line="240" w:lineRule="auto"/>
              <w:ind w:left="-108"/>
              <w:contextualSpacing/>
            </w:pPr>
            <w:r w:rsidRPr="0069635F">
              <w:t>First Name:</w:t>
            </w:r>
          </w:p>
        </w:tc>
        <w:tc>
          <w:tcPr>
            <w:tcW w:w="7846" w:type="dxa"/>
            <w:gridSpan w:val="5"/>
            <w:tcBorders>
              <w:top w:val="single" w:sz="4" w:space="0" w:color="auto"/>
              <w:bottom w:val="single" w:sz="4" w:space="0" w:color="auto"/>
            </w:tcBorders>
            <w:shd w:val="clear" w:color="auto" w:fill="auto"/>
            <w:vAlign w:val="center"/>
          </w:tcPr>
          <w:p w14:paraId="4952DCB3" w14:textId="77777777" w:rsidR="00504AB6" w:rsidRPr="0069635F" w:rsidRDefault="00504AB6" w:rsidP="00504AB6">
            <w:pPr>
              <w:autoSpaceDE w:val="0"/>
              <w:autoSpaceDN w:val="0"/>
              <w:adjustRightInd w:val="0"/>
              <w:spacing w:after="0" w:line="240" w:lineRule="auto"/>
              <w:contextualSpacing/>
            </w:pPr>
          </w:p>
        </w:tc>
      </w:tr>
      <w:tr w:rsidR="00504AB6" w:rsidRPr="0069635F" w14:paraId="24285BBC" w14:textId="77777777" w:rsidTr="00504AB6">
        <w:trPr>
          <w:trHeight w:val="397"/>
        </w:trPr>
        <w:tc>
          <w:tcPr>
            <w:tcW w:w="1510" w:type="dxa"/>
            <w:shd w:val="clear" w:color="auto" w:fill="auto"/>
            <w:vAlign w:val="center"/>
          </w:tcPr>
          <w:p w14:paraId="3C27AA84" w14:textId="77777777" w:rsidR="00504AB6" w:rsidRPr="0069635F" w:rsidRDefault="00504AB6" w:rsidP="00504AB6">
            <w:pPr>
              <w:autoSpaceDE w:val="0"/>
              <w:autoSpaceDN w:val="0"/>
              <w:adjustRightInd w:val="0"/>
              <w:spacing w:after="0" w:line="240" w:lineRule="auto"/>
              <w:ind w:left="-108"/>
              <w:contextualSpacing/>
            </w:pPr>
            <w:r w:rsidRPr="0069635F">
              <w:t>Family Name:</w:t>
            </w:r>
          </w:p>
        </w:tc>
        <w:tc>
          <w:tcPr>
            <w:tcW w:w="7846" w:type="dxa"/>
            <w:gridSpan w:val="5"/>
            <w:tcBorders>
              <w:top w:val="single" w:sz="4" w:space="0" w:color="auto"/>
              <w:bottom w:val="single" w:sz="4" w:space="0" w:color="auto"/>
            </w:tcBorders>
            <w:shd w:val="clear" w:color="auto" w:fill="auto"/>
            <w:vAlign w:val="center"/>
          </w:tcPr>
          <w:p w14:paraId="58C54D03" w14:textId="77777777" w:rsidR="00504AB6" w:rsidRPr="0069635F" w:rsidRDefault="00504AB6" w:rsidP="00504AB6">
            <w:pPr>
              <w:autoSpaceDE w:val="0"/>
              <w:autoSpaceDN w:val="0"/>
              <w:adjustRightInd w:val="0"/>
              <w:spacing w:after="0" w:line="240" w:lineRule="auto"/>
              <w:contextualSpacing/>
            </w:pPr>
          </w:p>
        </w:tc>
      </w:tr>
      <w:tr w:rsidR="00504AB6" w:rsidRPr="0069635F" w14:paraId="0C81B442" w14:textId="77777777" w:rsidTr="00504AB6">
        <w:trPr>
          <w:gridAfter w:val="3"/>
          <w:wAfter w:w="4475" w:type="dxa"/>
          <w:trHeight w:val="419"/>
        </w:trPr>
        <w:tc>
          <w:tcPr>
            <w:tcW w:w="1510" w:type="dxa"/>
            <w:shd w:val="clear" w:color="auto" w:fill="auto"/>
            <w:vAlign w:val="center"/>
          </w:tcPr>
          <w:p w14:paraId="3B540780" w14:textId="77777777" w:rsidR="00504AB6" w:rsidRPr="0069635F" w:rsidRDefault="00504AB6" w:rsidP="00504AB6">
            <w:pPr>
              <w:spacing w:after="0" w:line="240" w:lineRule="auto"/>
              <w:ind w:left="-108"/>
              <w:contextualSpacing/>
            </w:pPr>
            <w:r w:rsidRPr="0069635F">
              <w:t>Nationality:</w:t>
            </w:r>
          </w:p>
        </w:tc>
        <w:tc>
          <w:tcPr>
            <w:tcW w:w="3371" w:type="dxa"/>
            <w:gridSpan w:val="2"/>
            <w:tcBorders>
              <w:top w:val="single" w:sz="4" w:space="0" w:color="auto"/>
              <w:bottom w:val="single" w:sz="4" w:space="0" w:color="auto"/>
            </w:tcBorders>
            <w:shd w:val="clear" w:color="auto" w:fill="auto"/>
            <w:vAlign w:val="center"/>
          </w:tcPr>
          <w:p w14:paraId="21B088ED" w14:textId="77777777" w:rsidR="00504AB6" w:rsidRPr="0069635F" w:rsidRDefault="00504AB6" w:rsidP="00504AB6">
            <w:pPr>
              <w:autoSpaceDE w:val="0"/>
              <w:autoSpaceDN w:val="0"/>
              <w:adjustRightInd w:val="0"/>
              <w:spacing w:after="0" w:line="240" w:lineRule="auto"/>
              <w:contextualSpacing/>
            </w:pPr>
          </w:p>
        </w:tc>
      </w:tr>
    </w:tbl>
    <w:p w14:paraId="66ECF861" w14:textId="77777777" w:rsidR="00504AB6" w:rsidRPr="0069635F" w:rsidRDefault="00504AB6" w:rsidP="00504AB6"/>
    <w:tbl>
      <w:tblPr>
        <w:tblW w:w="0" w:type="auto"/>
        <w:tblLook w:val="04A0" w:firstRow="1" w:lastRow="0" w:firstColumn="1" w:lastColumn="0" w:noHBand="0" w:noVBand="1"/>
      </w:tblPr>
      <w:tblGrid>
        <w:gridCol w:w="1700"/>
        <w:gridCol w:w="2808"/>
        <w:gridCol w:w="215"/>
        <w:gridCol w:w="1640"/>
        <w:gridCol w:w="2851"/>
      </w:tblGrid>
      <w:tr w:rsidR="00504AB6" w:rsidRPr="0069635F" w14:paraId="26A3EC8E" w14:textId="77777777" w:rsidTr="00504AB6">
        <w:trPr>
          <w:trHeight w:val="388"/>
        </w:trPr>
        <w:tc>
          <w:tcPr>
            <w:tcW w:w="4508" w:type="dxa"/>
            <w:gridSpan w:val="2"/>
            <w:shd w:val="clear" w:color="auto" w:fill="auto"/>
            <w:vAlign w:val="center"/>
          </w:tcPr>
          <w:p w14:paraId="2C01881E" w14:textId="77777777" w:rsidR="00504AB6" w:rsidRPr="0069635F" w:rsidRDefault="00504AB6" w:rsidP="00504AB6">
            <w:pPr>
              <w:spacing w:after="0" w:line="240" w:lineRule="auto"/>
              <w:ind w:left="-108"/>
            </w:pPr>
            <w:r w:rsidRPr="0069635F">
              <w:t>Name of the media organization/publication:</w:t>
            </w:r>
          </w:p>
        </w:tc>
        <w:tc>
          <w:tcPr>
            <w:tcW w:w="4706" w:type="dxa"/>
            <w:gridSpan w:val="3"/>
            <w:tcBorders>
              <w:bottom w:val="single" w:sz="4" w:space="0" w:color="000000"/>
            </w:tcBorders>
            <w:shd w:val="clear" w:color="auto" w:fill="auto"/>
            <w:vAlign w:val="center"/>
          </w:tcPr>
          <w:p w14:paraId="51CFA96F" w14:textId="77777777" w:rsidR="00504AB6" w:rsidRPr="0069635F" w:rsidRDefault="00504AB6" w:rsidP="00504AB6">
            <w:pPr>
              <w:spacing w:after="0" w:line="240" w:lineRule="auto"/>
              <w:ind w:left="284"/>
            </w:pPr>
          </w:p>
        </w:tc>
      </w:tr>
      <w:tr w:rsidR="00504AB6" w:rsidRPr="0069635F" w14:paraId="22371051" w14:textId="77777777" w:rsidTr="00504AB6">
        <w:trPr>
          <w:trHeight w:val="388"/>
        </w:trPr>
        <w:tc>
          <w:tcPr>
            <w:tcW w:w="4508" w:type="dxa"/>
            <w:gridSpan w:val="2"/>
            <w:shd w:val="clear" w:color="auto" w:fill="auto"/>
            <w:vAlign w:val="center"/>
          </w:tcPr>
          <w:p w14:paraId="79B6C645" w14:textId="77777777" w:rsidR="00504AB6" w:rsidRPr="0069635F" w:rsidRDefault="00504AB6" w:rsidP="00504AB6">
            <w:pPr>
              <w:spacing w:after="0" w:line="240" w:lineRule="auto"/>
              <w:ind w:left="-108"/>
            </w:pPr>
            <w:r w:rsidRPr="0069635F">
              <w:t>Title and Name of the Contact person (supervisor):</w:t>
            </w:r>
          </w:p>
        </w:tc>
        <w:tc>
          <w:tcPr>
            <w:tcW w:w="4706" w:type="dxa"/>
            <w:gridSpan w:val="3"/>
            <w:tcBorders>
              <w:top w:val="single" w:sz="4" w:space="0" w:color="000000"/>
              <w:bottom w:val="single" w:sz="4" w:space="0" w:color="000000"/>
            </w:tcBorders>
            <w:shd w:val="clear" w:color="auto" w:fill="auto"/>
            <w:vAlign w:val="center"/>
          </w:tcPr>
          <w:p w14:paraId="73E1383A" w14:textId="77777777" w:rsidR="00504AB6" w:rsidRPr="0069635F" w:rsidRDefault="00504AB6" w:rsidP="00504AB6">
            <w:pPr>
              <w:spacing w:after="0" w:line="240" w:lineRule="auto"/>
              <w:ind w:left="284"/>
            </w:pPr>
          </w:p>
        </w:tc>
      </w:tr>
      <w:tr w:rsidR="00504AB6" w:rsidRPr="0069635F" w14:paraId="117CF6EC" w14:textId="77777777" w:rsidTr="00504AB6">
        <w:trPr>
          <w:trHeight w:val="388"/>
        </w:trPr>
        <w:tc>
          <w:tcPr>
            <w:tcW w:w="1700" w:type="dxa"/>
            <w:shd w:val="clear" w:color="auto" w:fill="auto"/>
            <w:vAlign w:val="center"/>
          </w:tcPr>
          <w:p w14:paraId="3579C805" w14:textId="77777777" w:rsidR="00504AB6" w:rsidRPr="0069635F" w:rsidRDefault="00504AB6" w:rsidP="00504AB6">
            <w:pPr>
              <w:spacing w:after="0" w:line="240" w:lineRule="auto"/>
              <w:ind w:left="-108"/>
            </w:pPr>
            <w:r w:rsidRPr="0069635F">
              <w:t>Work Address:</w:t>
            </w:r>
          </w:p>
        </w:tc>
        <w:tc>
          <w:tcPr>
            <w:tcW w:w="7514" w:type="dxa"/>
            <w:gridSpan w:val="4"/>
            <w:tcBorders>
              <w:bottom w:val="single" w:sz="4" w:space="0" w:color="000000"/>
            </w:tcBorders>
            <w:shd w:val="clear" w:color="auto" w:fill="auto"/>
            <w:vAlign w:val="center"/>
          </w:tcPr>
          <w:p w14:paraId="1BFB446E" w14:textId="77777777" w:rsidR="00504AB6" w:rsidRPr="0069635F" w:rsidRDefault="00504AB6" w:rsidP="00504AB6">
            <w:pPr>
              <w:spacing w:after="0" w:line="240" w:lineRule="auto"/>
              <w:ind w:left="-108"/>
            </w:pPr>
          </w:p>
        </w:tc>
      </w:tr>
      <w:tr w:rsidR="00504AB6" w:rsidRPr="0069635F" w14:paraId="566F2FAA" w14:textId="77777777" w:rsidTr="00504AB6">
        <w:trPr>
          <w:trHeight w:val="414"/>
        </w:trPr>
        <w:tc>
          <w:tcPr>
            <w:tcW w:w="1700" w:type="dxa"/>
            <w:shd w:val="clear" w:color="auto" w:fill="auto"/>
            <w:vAlign w:val="center"/>
          </w:tcPr>
          <w:p w14:paraId="02196FBD" w14:textId="77777777" w:rsidR="00504AB6" w:rsidRPr="0069635F" w:rsidRDefault="00504AB6" w:rsidP="00504AB6">
            <w:pPr>
              <w:spacing w:after="0" w:line="240" w:lineRule="auto"/>
              <w:ind w:left="-108"/>
            </w:pPr>
            <w:r w:rsidRPr="0069635F">
              <w:t>Zip Code:</w:t>
            </w:r>
          </w:p>
        </w:tc>
        <w:tc>
          <w:tcPr>
            <w:tcW w:w="3023" w:type="dxa"/>
            <w:gridSpan w:val="2"/>
            <w:tcBorders>
              <w:bottom w:val="single" w:sz="4" w:space="0" w:color="auto"/>
            </w:tcBorders>
            <w:shd w:val="clear" w:color="auto" w:fill="auto"/>
            <w:vAlign w:val="center"/>
          </w:tcPr>
          <w:p w14:paraId="24E05B63" w14:textId="77777777" w:rsidR="00504AB6" w:rsidRPr="0069635F" w:rsidRDefault="00504AB6" w:rsidP="00504AB6">
            <w:pPr>
              <w:spacing w:after="0" w:line="240" w:lineRule="auto"/>
              <w:ind w:left="-108"/>
            </w:pPr>
          </w:p>
        </w:tc>
        <w:tc>
          <w:tcPr>
            <w:tcW w:w="1640" w:type="dxa"/>
            <w:shd w:val="clear" w:color="auto" w:fill="auto"/>
            <w:vAlign w:val="center"/>
          </w:tcPr>
          <w:p w14:paraId="4E1EA182" w14:textId="77777777" w:rsidR="00504AB6" w:rsidRPr="0069635F" w:rsidRDefault="00504AB6" w:rsidP="00504AB6">
            <w:pPr>
              <w:spacing w:after="0" w:line="240" w:lineRule="auto"/>
              <w:ind w:left="284"/>
              <w:jc w:val="right"/>
            </w:pPr>
            <w:r w:rsidRPr="0069635F">
              <w:t>City:</w:t>
            </w:r>
          </w:p>
        </w:tc>
        <w:tc>
          <w:tcPr>
            <w:tcW w:w="2851" w:type="dxa"/>
            <w:tcBorders>
              <w:bottom w:val="single" w:sz="4" w:space="0" w:color="000000"/>
            </w:tcBorders>
            <w:shd w:val="clear" w:color="auto" w:fill="auto"/>
            <w:vAlign w:val="center"/>
          </w:tcPr>
          <w:p w14:paraId="0826E015" w14:textId="77777777" w:rsidR="00504AB6" w:rsidRPr="0069635F" w:rsidRDefault="00504AB6" w:rsidP="00504AB6">
            <w:pPr>
              <w:spacing w:after="0" w:line="240" w:lineRule="auto"/>
              <w:ind w:left="284"/>
            </w:pPr>
          </w:p>
        </w:tc>
      </w:tr>
      <w:tr w:rsidR="00504AB6" w:rsidRPr="0069635F" w14:paraId="20A7F795" w14:textId="77777777" w:rsidTr="00504AB6">
        <w:trPr>
          <w:trHeight w:val="420"/>
        </w:trPr>
        <w:tc>
          <w:tcPr>
            <w:tcW w:w="1700" w:type="dxa"/>
            <w:shd w:val="clear" w:color="auto" w:fill="auto"/>
            <w:vAlign w:val="center"/>
          </w:tcPr>
          <w:p w14:paraId="028462C8" w14:textId="77777777" w:rsidR="00504AB6" w:rsidRPr="0069635F" w:rsidRDefault="00504AB6" w:rsidP="00504AB6">
            <w:pPr>
              <w:spacing w:after="0" w:line="240" w:lineRule="auto"/>
              <w:ind w:left="-108"/>
            </w:pPr>
            <w:r w:rsidRPr="0069635F">
              <w:t>Country:</w:t>
            </w:r>
          </w:p>
        </w:tc>
        <w:tc>
          <w:tcPr>
            <w:tcW w:w="7514" w:type="dxa"/>
            <w:gridSpan w:val="4"/>
            <w:tcBorders>
              <w:bottom w:val="single" w:sz="4" w:space="0" w:color="000000"/>
            </w:tcBorders>
            <w:shd w:val="clear" w:color="auto" w:fill="auto"/>
            <w:vAlign w:val="center"/>
          </w:tcPr>
          <w:p w14:paraId="2BCE33DA" w14:textId="77777777" w:rsidR="00504AB6" w:rsidRPr="0069635F" w:rsidRDefault="00504AB6" w:rsidP="00504AB6">
            <w:pPr>
              <w:spacing w:after="0" w:line="240" w:lineRule="auto"/>
              <w:ind w:left="-108"/>
            </w:pPr>
          </w:p>
        </w:tc>
      </w:tr>
      <w:tr w:rsidR="00504AB6" w:rsidRPr="0069635F" w14:paraId="36B8A229" w14:textId="77777777" w:rsidTr="00504AB6">
        <w:trPr>
          <w:trHeight w:val="414"/>
        </w:trPr>
        <w:tc>
          <w:tcPr>
            <w:tcW w:w="1700" w:type="dxa"/>
            <w:shd w:val="clear" w:color="auto" w:fill="auto"/>
            <w:vAlign w:val="center"/>
          </w:tcPr>
          <w:p w14:paraId="66D1E140" w14:textId="77777777" w:rsidR="00504AB6" w:rsidRPr="0069635F" w:rsidRDefault="00504AB6" w:rsidP="00504AB6">
            <w:pPr>
              <w:spacing w:after="0" w:line="240" w:lineRule="auto"/>
              <w:ind w:left="-108"/>
            </w:pPr>
            <w:r w:rsidRPr="0069635F">
              <w:t>Phone Number:</w:t>
            </w:r>
          </w:p>
        </w:tc>
        <w:tc>
          <w:tcPr>
            <w:tcW w:w="3023" w:type="dxa"/>
            <w:gridSpan w:val="2"/>
            <w:tcBorders>
              <w:top w:val="single" w:sz="4" w:space="0" w:color="000000"/>
              <w:bottom w:val="single" w:sz="4" w:space="0" w:color="000000"/>
            </w:tcBorders>
            <w:shd w:val="clear" w:color="auto" w:fill="auto"/>
            <w:vAlign w:val="center"/>
          </w:tcPr>
          <w:p w14:paraId="1CBB3117" w14:textId="77777777" w:rsidR="00504AB6" w:rsidRPr="0069635F" w:rsidRDefault="00504AB6" w:rsidP="00504AB6">
            <w:pPr>
              <w:spacing w:after="0" w:line="240" w:lineRule="auto"/>
              <w:ind w:left="-108"/>
            </w:pPr>
          </w:p>
        </w:tc>
        <w:tc>
          <w:tcPr>
            <w:tcW w:w="1640" w:type="dxa"/>
            <w:tcBorders>
              <w:top w:val="single" w:sz="4" w:space="0" w:color="000000"/>
            </w:tcBorders>
            <w:shd w:val="clear" w:color="auto" w:fill="auto"/>
            <w:vAlign w:val="center"/>
          </w:tcPr>
          <w:p w14:paraId="5456F4DA" w14:textId="77777777" w:rsidR="00504AB6" w:rsidRPr="0069635F" w:rsidRDefault="00504AB6" w:rsidP="00504AB6">
            <w:pPr>
              <w:spacing w:after="0" w:line="240" w:lineRule="auto"/>
              <w:ind w:left="284"/>
              <w:jc w:val="right"/>
            </w:pPr>
            <w:r w:rsidRPr="0069635F">
              <w:t>Mobile:</w:t>
            </w:r>
          </w:p>
        </w:tc>
        <w:tc>
          <w:tcPr>
            <w:tcW w:w="2851" w:type="dxa"/>
            <w:tcBorders>
              <w:top w:val="single" w:sz="4" w:space="0" w:color="000000"/>
              <w:bottom w:val="single" w:sz="4" w:space="0" w:color="000000"/>
            </w:tcBorders>
            <w:shd w:val="clear" w:color="auto" w:fill="auto"/>
            <w:vAlign w:val="center"/>
          </w:tcPr>
          <w:p w14:paraId="26FC4390" w14:textId="77777777" w:rsidR="00504AB6" w:rsidRPr="0069635F" w:rsidRDefault="00504AB6" w:rsidP="00504AB6">
            <w:pPr>
              <w:spacing w:after="0" w:line="240" w:lineRule="auto"/>
              <w:ind w:left="284"/>
            </w:pPr>
          </w:p>
        </w:tc>
      </w:tr>
    </w:tbl>
    <w:p w14:paraId="6431D73C" w14:textId="77777777" w:rsidR="00504AB6" w:rsidRPr="0069635F" w:rsidRDefault="00504AB6" w:rsidP="00504AB6"/>
    <w:p w14:paraId="671AF88E" w14:textId="77777777" w:rsidR="00504AB6" w:rsidRPr="0069635F" w:rsidRDefault="0069635F" w:rsidP="00504AB6">
      <w:r w:rsidRPr="0069635F">
        <w:t xml:space="preserve">Date: </w:t>
      </w:r>
      <w:r w:rsidRPr="0069635F">
        <w:tab/>
      </w:r>
      <w:r w:rsidRPr="0069635F">
        <w:tab/>
      </w:r>
      <w:r w:rsidRPr="0069635F">
        <w:tab/>
      </w:r>
      <w:r w:rsidRPr="0069635F">
        <w:tab/>
      </w:r>
      <w:r w:rsidRPr="0069635F">
        <w:tab/>
      </w:r>
      <w:r w:rsidRPr="0069635F">
        <w:tab/>
      </w:r>
      <w:r w:rsidRPr="0069635F">
        <w:tab/>
        <w:t xml:space="preserve">Signature and Stamp: </w:t>
      </w:r>
    </w:p>
    <w:sectPr w:rsidR="00504AB6" w:rsidRPr="0069635F" w:rsidSect="00520136">
      <w:headerReference w:type="default" r:id="rId24"/>
      <w:footerReference w:type="default" r:id="rId25"/>
      <w:pgSz w:w="11906" w:h="16838"/>
      <w:pgMar w:top="1417" w:right="1134" w:bottom="1134" w:left="1134" w:header="426"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1DCE6" w14:textId="77777777" w:rsidR="00A27E95" w:rsidRDefault="00A27E95" w:rsidP="00382A20">
      <w:pPr>
        <w:spacing w:after="0" w:line="240" w:lineRule="auto"/>
      </w:pPr>
      <w:r>
        <w:separator/>
      </w:r>
    </w:p>
  </w:endnote>
  <w:endnote w:type="continuationSeparator" w:id="0">
    <w:p w14:paraId="2E9D4E29" w14:textId="77777777" w:rsidR="00A27E95" w:rsidRDefault="00A27E95" w:rsidP="00382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895828"/>
      <w:docPartObj>
        <w:docPartGallery w:val="Page Numbers (Bottom of Page)"/>
        <w:docPartUnique/>
      </w:docPartObj>
    </w:sdtPr>
    <w:sdtEndPr>
      <w:rPr>
        <w:noProof/>
      </w:rPr>
    </w:sdtEndPr>
    <w:sdtContent>
      <w:p w14:paraId="78BE0F7C" w14:textId="77777777" w:rsidR="00D66399" w:rsidRDefault="00D66399">
        <w:pPr>
          <w:pStyle w:val="Footer"/>
          <w:jc w:val="right"/>
        </w:pPr>
        <w:r>
          <w:fldChar w:fldCharType="begin"/>
        </w:r>
        <w:r>
          <w:instrText xml:space="preserve"> PAGE   \* MERGEFORMAT </w:instrText>
        </w:r>
        <w:r>
          <w:fldChar w:fldCharType="separate"/>
        </w:r>
        <w:r w:rsidR="008F39E7">
          <w:rPr>
            <w:noProof/>
          </w:rPr>
          <w:t>3</w:t>
        </w:r>
        <w:r>
          <w:rPr>
            <w:noProof/>
          </w:rPr>
          <w:fldChar w:fldCharType="end"/>
        </w:r>
      </w:p>
    </w:sdtContent>
  </w:sdt>
  <w:p w14:paraId="2E64EEA0" w14:textId="77777777" w:rsidR="00D66399" w:rsidRDefault="00D66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2091C" w14:textId="77777777" w:rsidR="00A27E95" w:rsidRDefault="00A27E95" w:rsidP="00382A20">
      <w:pPr>
        <w:spacing w:after="0" w:line="240" w:lineRule="auto"/>
      </w:pPr>
      <w:r>
        <w:separator/>
      </w:r>
    </w:p>
  </w:footnote>
  <w:footnote w:type="continuationSeparator" w:id="0">
    <w:p w14:paraId="4D53B301" w14:textId="77777777" w:rsidR="00A27E95" w:rsidRDefault="00A27E95" w:rsidP="00382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6B095" w14:textId="77777777" w:rsidR="00D66399" w:rsidRDefault="00D66399">
    <w:pPr>
      <w:pStyle w:val="Header"/>
    </w:pPr>
    <w:r>
      <w:rPr>
        <w:noProof/>
        <w:lang w:val="en-US"/>
      </w:rPr>
      <w:drawing>
        <wp:inline distT="0" distB="0" distL="0" distR="0" wp14:anchorId="7FABA964" wp14:editId="778E6307">
          <wp:extent cx="6120130" cy="1111645"/>
          <wp:effectExtent l="0" t="0" r="0" b="0"/>
          <wp:docPr id="5" name="Immagine 2" descr="C:\Users\Giuditta\AppData\Local\Microsoft\Windows\Temporary Internet Files\Content.Word\EADV-Header-fulldescrip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uditta\AppData\Local\Microsoft\Windows\Temporary Internet Files\Content.Word\EADV-Header-fulldescription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111645"/>
                  </a:xfrm>
                  <a:prstGeom prst="rect">
                    <a:avLst/>
                  </a:prstGeom>
                  <a:noFill/>
                  <a:ln>
                    <a:noFill/>
                  </a:ln>
                </pic:spPr>
              </pic:pic>
            </a:graphicData>
          </a:graphic>
        </wp:inline>
      </w:drawing>
    </w:r>
  </w:p>
  <w:p w14:paraId="430122D7" w14:textId="77777777" w:rsidR="00D66399" w:rsidRDefault="00D663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11ED1"/>
    <w:multiLevelType w:val="multilevel"/>
    <w:tmpl w:val="9796CC3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15735D5"/>
    <w:multiLevelType w:val="hybridMultilevel"/>
    <w:tmpl w:val="7DC6A780"/>
    <w:lvl w:ilvl="0" w:tplc="99B43B1E">
      <w:start w:val="9"/>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42E623E3"/>
    <w:multiLevelType w:val="hybridMultilevel"/>
    <w:tmpl w:val="C4F448CE"/>
    <w:lvl w:ilvl="0" w:tplc="1F22B2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E5DF0"/>
    <w:multiLevelType w:val="multilevel"/>
    <w:tmpl w:val="FDDCA8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9F17F23"/>
    <w:multiLevelType w:val="hybridMultilevel"/>
    <w:tmpl w:val="8FE86514"/>
    <w:lvl w:ilvl="0" w:tplc="99B43B1E">
      <w:start w:val="9"/>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4D0734"/>
    <w:multiLevelType w:val="hybridMultilevel"/>
    <w:tmpl w:val="03425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1"/>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25"/>
    <w:rsid w:val="0004592B"/>
    <w:rsid w:val="00083948"/>
    <w:rsid w:val="00120515"/>
    <w:rsid w:val="00135900"/>
    <w:rsid w:val="00176E30"/>
    <w:rsid w:val="0019522A"/>
    <w:rsid w:val="002419F5"/>
    <w:rsid w:val="002948B3"/>
    <w:rsid w:val="0031095B"/>
    <w:rsid w:val="00365271"/>
    <w:rsid w:val="00382A20"/>
    <w:rsid w:val="003C21BD"/>
    <w:rsid w:val="003E51E1"/>
    <w:rsid w:val="00414091"/>
    <w:rsid w:val="00454BDD"/>
    <w:rsid w:val="004C5E68"/>
    <w:rsid w:val="004D5B19"/>
    <w:rsid w:val="004D68C4"/>
    <w:rsid w:val="00504AB6"/>
    <w:rsid w:val="00520136"/>
    <w:rsid w:val="00525E5E"/>
    <w:rsid w:val="0066468B"/>
    <w:rsid w:val="006925EB"/>
    <w:rsid w:val="0069635F"/>
    <w:rsid w:val="006C0BAC"/>
    <w:rsid w:val="00731042"/>
    <w:rsid w:val="007A426D"/>
    <w:rsid w:val="007D4A31"/>
    <w:rsid w:val="008751A5"/>
    <w:rsid w:val="00880E02"/>
    <w:rsid w:val="00893A0C"/>
    <w:rsid w:val="008955B0"/>
    <w:rsid w:val="008A0DF6"/>
    <w:rsid w:val="008F39E7"/>
    <w:rsid w:val="00931B34"/>
    <w:rsid w:val="00973148"/>
    <w:rsid w:val="009F67A7"/>
    <w:rsid w:val="00A27E95"/>
    <w:rsid w:val="00A540DD"/>
    <w:rsid w:val="00A8480D"/>
    <w:rsid w:val="00AC250E"/>
    <w:rsid w:val="00B578C5"/>
    <w:rsid w:val="00BC7CCA"/>
    <w:rsid w:val="00C3222A"/>
    <w:rsid w:val="00CE228E"/>
    <w:rsid w:val="00D544BF"/>
    <w:rsid w:val="00D61EA2"/>
    <w:rsid w:val="00D66399"/>
    <w:rsid w:val="00D7736E"/>
    <w:rsid w:val="00D90BAE"/>
    <w:rsid w:val="00E031A5"/>
    <w:rsid w:val="00E416AB"/>
    <w:rsid w:val="00E513C6"/>
    <w:rsid w:val="00E97AB9"/>
    <w:rsid w:val="00F10475"/>
    <w:rsid w:val="00F7301F"/>
    <w:rsid w:val="00F95A25"/>
    <w:rsid w:val="00FC2F1C"/>
    <w:rsid w:val="00FE539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9BAE6A"/>
  <w15:docId w15:val="{08519D4F-1CAB-453C-B643-241362C05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link w:val="Heading1Char"/>
    <w:autoRedefine/>
    <w:uiPriority w:val="9"/>
    <w:qFormat/>
    <w:rsid w:val="00880E02"/>
    <w:pPr>
      <w:numPr>
        <w:numId w:val="5"/>
      </w:numPr>
      <w:spacing w:before="100" w:beforeAutospacing="1" w:after="100" w:afterAutospacing="1" w:line="240" w:lineRule="auto"/>
      <w:outlineLvl w:val="0"/>
    </w:pPr>
    <w:rPr>
      <w:rFonts w:ascii="Times New Roman" w:eastAsia="Times New Roman" w:hAnsi="Times New Roman" w:cs="Times New Roman"/>
      <w:b/>
      <w:bCs/>
      <w:kern w:val="36"/>
      <w:sz w:val="48"/>
      <w:szCs w:val="48"/>
      <w:lang w:val="it-CH" w:eastAsia="it-CH"/>
    </w:rPr>
  </w:style>
  <w:style w:type="paragraph" w:styleId="Heading2">
    <w:name w:val="heading 2"/>
    <w:basedOn w:val="Normal"/>
    <w:next w:val="Normal"/>
    <w:link w:val="Heading2Char"/>
    <w:autoRedefine/>
    <w:uiPriority w:val="9"/>
    <w:unhideWhenUsed/>
    <w:qFormat/>
    <w:rsid w:val="00880E02"/>
    <w:pPr>
      <w:keepNext/>
      <w:keepLines/>
      <w:numPr>
        <w:ilvl w:val="1"/>
        <w:numId w:val="5"/>
      </w:numPr>
      <w:spacing w:before="40" w:after="0" w:line="276" w:lineRule="auto"/>
      <w:outlineLvl w:val="1"/>
    </w:pPr>
    <w:rPr>
      <w:rFonts w:asciiTheme="majorHAnsi" w:eastAsiaTheme="majorEastAsia" w:hAnsiTheme="majorHAnsi" w:cstheme="majorBidi"/>
      <w:color w:val="2E74B5" w:themeColor="accent1" w:themeShade="BF"/>
      <w:sz w:val="26"/>
      <w:szCs w:val="26"/>
      <w:lang w:val="it-CH"/>
    </w:rPr>
  </w:style>
  <w:style w:type="paragraph" w:styleId="Heading3">
    <w:name w:val="heading 3"/>
    <w:basedOn w:val="Normal"/>
    <w:next w:val="Normal"/>
    <w:link w:val="Heading3Char"/>
    <w:uiPriority w:val="9"/>
    <w:unhideWhenUsed/>
    <w:qFormat/>
    <w:rsid w:val="00880E02"/>
    <w:pPr>
      <w:keepNext/>
      <w:keepLines/>
      <w:numPr>
        <w:ilvl w:val="2"/>
        <w:numId w:val="5"/>
      </w:numPr>
      <w:spacing w:before="40" w:after="0" w:line="276" w:lineRule="auto"/>
      <w:outlineLvl w:val="2"/>
    </w:pPr>
    <w:rPr>
      <w:rFonts w:asciiTheme="majorHAnsi" w:eastAsiaTheme="majorEastAsia" w:hAnsiTheme="majorHAnsi" w:cstheme="majorBidi"/>
      <w:color w:val="1F4D78" w:themeColor="accent1" w:themeShade="7F"/>
      <w:sz w:val="24"/>
      <w:szCs w:val="24"/>
      <w:lang w:val="it-CH"/>
    </w:rPr>
  </w:style>
  <w:style w:type="paragraph" w:styleId="Heading4">
    <w:name w:val="heading 4"/>
    <w:basedOn w:val="Normal"/>
    <w:next w:val="Normal"/>
    <w:link w:val="Heading4Char"/>
    <w:uiPriority w:val="9"/>
    <w:unhideWhenUsed/>
    <w:qFormat/>
    <w:rsid w:val="00880E02"/>
    <w:pPr>
      <w:keepNext/>
      <w:keepLines/>
      <w:numPr>
        <w:ilvl w:val="3"/>
        <w:numId w:val="5"/>
      </w:numPr>
      <w:spacing w:before="40" w:after="0" w:line="276" w:lineRule="auto"/>
      <w:outlineLvl w:val="3"/>
    </w:pPr>
    <w:rPr>
      <w:rFonts w:asciiTheme="majorHAnsi" w:eastAsiaTheme="majorEastAsia" w:hAnsiTheme="majorHAnsi" w:cstheme="majorBidi"/>
      <w:i/>
      <w:iCs/>
      <w:color w:val="2E74B5" w:themeColor="accent1" w:themeShade="BF"/>
      <w:lang w:val="it-CH"/>
    </w:rPr>
  </w:style>
  <w:style w:type="paragraph" w:styleId="Heading5">
    <w:name w:val="heading 5"/>
    <w:basedOn w:val="Normal"/>
    <w:next w:val="Normal"/>
    <w:link w:val="Heading5Char"/>
    <w:uiPriority w:val="9"/>
    <w:unhideWhenUsed/>
    <w:qFormat/>
    <w:rsid w:val="00880E02"/>
    <w:pPr>
      <w:keepNext/>
      <w:keepLines/>
      <w:numPr>
        <w:ilvl w:val="4"/>
        <w:numId w:val="6"/>
      </w:numPr>
      <w:spacing w:before="40" w:after="0" w:line="276" w:lineRule="auto"/>
      <w:ind w:left="1008" w:hanging="1008"/>
      <w:outlineLvl w:val="4"/>
    </w:pPr>
    <w:rPr>
      <w:rFonts w:asciiTheme="majorHAnsi" w:eastAsiaTheme="majorEastAsia" w:hAnsiTheme="majorHAnsi" w:cstheme="majorBidi"/>
      <w:color w:val="2E74B5" w:themeColor="accent1" w:themeShade="BF"/>
      <w:lang w:val="it-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E02"/>
    <w:rPr>
      <w:rFonts w:ascii="Times New Roman" w:eastAsia="Times New Roman" w:hAnsi="Times New Roman" w:cs="Times New Roman"/>
      <w:b/>
      <w:bCs/>
      <w:kern w:val="36"/>
      <w:sz w:val="48"/>
      <w:szCs w:val="48"/>
      <w:lang w:eastAsia="it-CH"/>
    </w:rPr>
  </w:style>
  <w:style w:type="character" w:customStyle="1" w:styleId="Heading2Char">
    <w:name w:val="Heading 2 Char"/>
    <w:basedOn w:val="DefaultParagraphFont"/>
    <w:link w:val="Heading2"/>
    <w:uiPriority w:val="9"/>
    <w:rsid w:val="00880E0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80E0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80E0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880E02"/>
    <w:rPr>
      <w:rFonts w:asciiTheme="majorHAnsi" w:eastAsiaTheme="majorEastAsia" w:hAnsiTheme="majorHAnsi" w:cstheme="majorBidi"/>
      <w:color w:val="2E74B5" w:themeColor="accent1" w:themeShade="BF"/>
    </w:rPr>
  </w:style>
  <w:style w:type="paragraph" w:styleId="NoSpacing">
    <w:name w:val="No Spacing"/>
    <w:link w:val="NoSpacingChar"/>
    <w:uiPriority w:val="1"/>
    <w:qFormat/>
    <w:rsid w:val="00F95A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95A25"/>
    <w:rPr>
      <w:rFonts w:eastAsiaTheme="minorEastAsia"/>
      <w:lang w:val="en-US" w:eastAsia="ja-JP"/>
    </w:rPr>
  </w:style>
  <w:style w:type="paragraph" w:styleId="TOCHeading">
    <w:name w:val="TOC Heading"/>
    <w:basedOn w:val="Heading1"/>
    <w:next w:val="Normal"/>
    <w:uiPriority w:val="39"/>
    <w:unhideWhenUsed/>
    <w:qFormat/>
    <w:rsid w:val="00F95A25"/>
    <w:pPr>
      <w:keepNext/>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character" w:styleId="Hyperlink">
    <w:name w:val="Hyperlink"/>
    <w:basedOn w:val="DefaultParagraphFont"/>
    <w:uiPriority w:val="99"/>
    <w:unhideWhenUsed/>
    <w:rsid w:val="00F95A25"/>
    <w:rPr>
      <w:color w:val="0563C1" w:themeColor="hyperlink"/>
      <w:u w:val="single"/>
    </w:rPr>
  </w:style>
  <w:style w:type="paragraph" w:styleId="ListParagraph">
    <w:name w:val="List Paragraph"/>
    <w:basedOn w:val="Normal"/>
    <w:uiPriority w:val="34"/>
    <w:qFormat/>
    <w:rsid w:val="0004592B"/>
    <w:pPr>
      <w:ind w:left="720"/>
      <w:contextualSpacing/>
    </w:pPr>
  </w:style>
  <w:style w:type="paragraph" w:styleId="Header">
    <w:name w:val="header"/>
    <w:basedOn w:val="Normal"/>
    <w:link w:val="HeaderChar"/>
    <w:uiPriority w:val="99"/>
    <w:unhideWhenUsed/>
    <w:rsid w:val="00382A20"/>
    <w:pPr>
      <w:tabs>
        <w:tab w:val="center" w:pos="4986"/>
        <w:tab w:val="right" w:pos="9972"/>
      </w:tabs>
      <w:spacing w:after="0" w:line="240" w:lineRule="auto"/>
    </w:pPr>
  </w:style>
  <w:style w:type="character" w:customStyle="1" w:styleId="HeaderChar">
    <w:name w:val="Header Char"/>
    <w:basedOn w:val="DefaultParagraphFont"/>
    <w:link w:val="Header"/>
    <w:uiPriority w:val="99"/>
    <w:rsid w:val="00382A20"/>
    <w:rPr>
      <w:lang w:val="en-GB"/>
    </w:rPr>
  </w:style>
  <w:style w:type="paragraph" w:styleId="Footer">
    <w:name w:val="footer"/>
    <w:basedOn w:val="Normal"/>
    <w:link w:val="FooterChar"/>
    <w:uiPriority w:val="99"/>
    <w:unhideWhenUsed/>
    <w:rsid w:val="00382A20"/>
    <w:pPr>
      <w:tabs>
        <w:tab w:val="center" w:pos="4986"/>
        <w:tab w:val="right" w:pos="9972"/>
      </w:tabs>
      <w:spacing w:after="0" w:line="240" w:lineRule="auto"/>
    </w:pPr>
  </w:style>
  <w:style w:type="character" w:customStyle="1" w:styleId="FooterChar">
    <w:name w:val="Footer Char"/>
    <w:basedOn w:val="DefaultParagraphFont"/>
    <w:link w:val="Footer"/>
    <w:uiPriority w:val="99"/>
    <w:rsid w:val="00382A20"/>
    <w:rPr>
      <w:lang w:val="en-GB"/>
    </w:rPr>
  </w:style>
  <w:style w:type="paragraph" w:styleId="TOC1">
    <w:name w:val="toc 1"/>
    <w:basedOn w:val="Normal"/>
    <w:next w:val="Normal"/>
    <w:autoRedefine/>
    <w:uiPriority w:val="39"/>
    <w:unhideWhenUsed/>
    <w:rsid w:val="00382A20"/>
    <w:pPr>
      <w:spacing w:after="100"/>
    </w:pPr>
  </w:style>
  <w:style w:type="character" w:styleId="CommentReference">
    <w:name w:val="annotation reference"/>
    <w:basedOn w:val="DefaultParagraphFont"/>
    <w:uiPriority w:val="99"/>
    <w:semiHidden/>
    <w:unhideWhenUsed/>
    <w:rsid w:val="009F67A7"/>
    <w:rPr>
      <w:sz w:val="16"/>
      <w:szCs w:val="16"/>
    </w:rPr>
  </w:style>
  <w:style w:type="paragraph" w:styleId="CommentText">
    <w:name w:val="annotation text"/>
    <w:basedOn w:val="Normal"/>
    <w:link w:val="CommentTextChar"/>
    <w:uiPriority w:val="99"/>
    <w:semiHidden/>
    <w:unhideWhenUsed/>
    <w:rsid w:val="009F67A7"/>
    <w:pPr>
      <w:spacing w:line="240" w:lineRule="auto"/>
    </w:pPr>
    <w:rPr>
      <w:sz w:val="20"/>
      <w:szCs w:val="20"/>
    </w:rPr>
  </w:style>
  <w:style w:type="character" w:customStyle="1" w:styleId="CommentTextChar">
    <w:name w:val="Comment Text Char"/>
    <w:basedOn w:val="DefaultParagraphFont"/>
    <w:link w:val="CommentText"/>
    <w:uiPriority w:val="99"/>
    <w:semiHidden/>
    <w:rsid w:val="009F67A7"/>
    <w:rPr>
      <w:sz w:val="20"/>
      <w:szCs w:val="20"/>
      <w:lang w:val="en-GB"/>
    </w:rPr>
  </w:style>
  <w:style w:type="paragraph" w:styleId="CommentSubject">
    <w:name w:val="annotation subject"/>
    <w:basedOn w:val="CommentText"/>
    <w:next w:val="CommentText"/>
    <w:link w:val="CommentSubjectChar"/>
    <w:uiPriority w:val="99"/>
    <w:semiHidden/>
    <w:unhideWhenUsed/>
    <w:rsid w:val="009F67A7"/>
    <w:rPr>
      <w:b/>
      <w:bCs/>
    </w:rPr>
  </w:style>
  <w:style w:type="character" w:customStyle="1" w:styleId="CommentSubjectChar">
    <w:name w:val="Comment Subject Char"/>
    <w:basedOn w:val="CommentTextChar"/>
    <w:link w:val="CommentSubject"/>
    <w:uiPriority w:val="99"/>
    <w:semiHidden/>
    <w:rsid w:val="009F67A7"/>
    <w:rPr>
      <w:b/>
      <w:bCs/>
      <w:sz w:val="20"/>
      <w:szCs w:val="20"/>
      <w:lang w:val="en-GB"/>
    </w:rPr>
  </w:style>
  <w:style w:type="paragraph" w:styleId="BalloonText">
    <w:name w:val="Balloon Text"/>
    <w:basedOn w:val="Normal"/>
    <w:link w:val="BalloonTextChar"/>
    <w:uiPriority w:val="99"/>
    <w:semiHidden/>
    <w:unhideWhenUsed/>
    <w:rsid w:val="009F6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7A7"/>
    <w:rPr>
      <w:rFonts w:ascii="Segoe UI" w:hAnsi="Segoe UI" w:cs="Segoe UI"/>
      <w:sz w:val="18"/>
      <w:szCs w:val="18"/>
      <w:lang w:val="en-GB"/>
    </w:rPr>
  </w:style>
  <w:style w:type="paragraph" w:styleId="Revision">
    <w:name w:val="Revision"/>
    <w:hidden/>
    <w:uiPriority w:val="99"/>
    <w:semiHidden/>
    <w:rsid w:val="00893A0C"/>
    <w:pPr>
      <w:spacing w:after="0" w:line="240" w:lineRule="auto"/>
    </w:pPr>
    <w:rPr>
      <w:lang w:val="en-GB"/>
    </w:rPr>
  </w:style>
  <w:style w:type="character" w:customStyle="1" w:styleId="UnresolvedMention1">
    <w:name w:val="Unresolved Mention1"/>
    <w:basedOn w:val="DefaultParagraphFont"/>
    <w:uiPriority w:val="99"/>
    <w:semiHidden/>
    <w:unhideWhenUsed/>
    <w:rsid w:val="00FE5399"/>
    <w:rPr>
      <w:color w:val="605E5C"/>
      <w:shd w:val="clear" w:color="auto" w:fill="E1DFDD"/>
    </w:rPr>
  </w:style>
  <w:style w:type="character" w:customStyle="1" w:styleId="UnresolvedMention2">
    <w:name w:val="Unresolved Mention2"/>
    <w:basedOn w:val="DefaultParagraphFont"/>
    <w:uiPriority w:val="99"/>
    <w:semiHidden/>
    <w:unhideWhenUsed/>
    <w:rsid w:val="00AC250E"/>
    <w:rPr>
      <w:color w:val="605E5C"/>
      <w:shd w:val="clear" w:color="auto" w:fill="E1DFDD"/>
    </w:rPr>
  </w:style>
  <w:style w:type="character" w:styleId="UnresolvedMention">
    <w:name w:val="Unresolved Mention"/>
    <w:basedOn w:val="DefaultParagraphFont"/>
    <w:uiPriority w:val="99"/>
    <w:semiHidden/>
    <w:unhideWhenUsed/>
    <w:rsid w:val="00E51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061186">
      <w:bodyDiv w:val="1"/>
      <w:marLeft w:val="0"/>
      <w:marRight w:val="0"/>
      <w:marTop w:val="0"/>
      <w:marBottom w:val="0"/>
      <w:divBdr>
        <w:top w:val="none" w:sz="0" w:space="0" w:color="auto"/>
        <w:left w:val="none" w:sz="0" w:space="0" w:color="auto"/>
        <w:bottom w:val="none" w:sz="0" w:space="0" w:color="auto"/>
        <w:right w:val="none" w:sz="0" w:space="0" w:color="auto"/>
      </w:divBdr>
    </w:div>
    <w:div w:id="896092666">
      <w:bodyDiv w:val="1"/>
      <w:marLeft w:val="0"/>
      <w:marRight w:val="0"/>
      <w:marTop w:val="0"/>
      <w:marBottom w:val="0"/>
      <w:divBdr>
        <w:top w:val="none" w:sz="0" w:space="0" w:color="auto"/>
        <w:left w:val="none" w:sz="0" w:space="0" w:color="auto"/>
        <w:bottom w:val="none" w:sz="0" w:space="0" w:color="auto"/>
        <w:right w:val="none" w:sz="0" w:space="0" w:color="auto"/>
      </w:divBdr>
    </w:div>
    <w:div w:id="896627544">
      <w:bodyDiv w:val="1"/>
      <w:marLeft w:val="0"/>
      <w:marRight w:val="0"/>
      <w:marTop w:val="0"/>
      <w:marBottom w:val="0"/>
      <w:divBdr>
        <w:top w:val="none" w:sz="0" w:space="0" w:color="auto"/>
        <w:left w:val="none" w:sz="0" w:space="0" w:color="auto"/>
        <w:bottom w:val="none" w:sz="0" w:space="0" w:color="auto"/>
        <w:right w:val="none" w:sz="0" w:space="0" w:color="auto"/>
      </w:divBdr>
    </w:div>
    <w:div w:id="1041516378">
      <w:bodyDiv w:val="1"/>
      <w:marLeft w:val="0"/>
      <w:marRight w:val="0"/>
      <w:marTop w:val="0"/>
      <w:marBottom w:val="0"/>
      <w:divBdr>
        <w:top w:val="none" w:sz="0" w:space="0" w:color="auto"/>
        <w:left w:val="none" w:sz="0" w:space="0" w:color="auto"/>
        <w:bottom w:val="none" w:sz="0" w:space="0" w:color="auto"/>
        <w:right w:val="none" w:sz="0" w:space="0" w:color="auto"/>
      </w:divBdr>
    </w:div>
    <w:div w:id="1585459641">
      <w:bodyDiv w:val="1"/>
      <w:marLeft w:val="0"/>
      <w:marRight w:val="0"/>
      <w:marTop w:val="0"/>
      <w:marBottom w:val="0"/>
      <w:divBdr>
        <w:top w:val="none" w:sz="0" w:space="0" w:color="auto"/>
        <w:left w:val="none" w:sz="0" w:space="0" w:color="auto"/>
        <w:bottom w:val="none" w:sz="0" w:space="0" w:color="auto"/>
        <w:right w:val="none" w:sz="0" w:space="0" w:color="auto"/>
      </w:divBdr>
    </w:div>
    <w:div w:id="1866944935">
      <w:bodyDiv w:val="1"/>
      <w:marLeft w:val="0"/>
      <w:marRight w:val="0"/>
      <w:marTop w:val="0"/>
      <w:marBottom w:val="0"/>
      <w:divBdr>
        <w:top w:val="none" w:sz="0" w:space="0" w:color="auto"/>
        <w:left w:val="none" w:sz="0" w:space="0" w:color="auto"/>
        <w:bottom w:val="none" w:sz="0" w:space="0" w:color="auto"/>
        <w:right w:val="none" w:sz="0" w:space="0" w:color="auto"/>
      </w:divBdr>
    </w:div>
    <w:div w:id="191843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imberley.zimmermann@eadv.org" TargetMode="External"/><Relationship Id="rId18" Type="http://schemas.openxmlformats.org/officeDocument/2006/relationships/image" Target="media/image3.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ntrol" Target="activeX/activeX3.xml"/><Relationship Id="rId7" Type="http://schemas.openxmlformats.org/officeDocument/2006/relationships/endnotes" Target="endnotes.xml"/><Relationship Id="rId12" Type="http://schemas.openxmlformats.org/officeDocument/2006/relationships/hyperlink" Target="mailto:EADVmedia@saycomms.co.uk" TargetMode="External"/><Relationship Id="rId17" Type="http://schemas.openxmlformats.org/officeDocument/2006/relationships/control" Target="activeX/activeX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dvvirtualcongress.org/registratio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EADVmedia@saycomms.co.uk" TargetMode="External"/><Relationship Id="rId23" Type="http://schemas.openxmlformats.org/officeDocument/2006/relationships/control" Target="activeX/activeX4.xml"/><Relationship Id="rId10" Type="http://schemas.openxmlformats.org/officeDocument/2006/relationships/hyperlink" Target="mailto:EADVmedia@saycomms.co.uk" TargetMode="External"/><Relationship Id="rId19"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hyperlink" Target="mailto:EADVmedia@saycomms.co.uk" TargetMode="External"/><Relationship Id="rId14" Type="http://schemas.openxmlformats.org/officeDocument/2006/relationships/hyperlink" Target="mailto:EADVmedia@saycomms.co.uk" TargetMode="External"/><Relationship Id="rId22" Type="http://schemas.openxmlformats.org/officeDocument/2006/relationships/image" Target="media/image5.w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C57D0-15DD-4E94-A03A-ED3510307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2183</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Media and Embargo Policy</vt:lpstr>
    </vt:vector>
  </TitlesOfParts>
  <Company>HP Inc.</Company>
  <LinksUpToDate>false</LinksUpToDate>
  <CharactersWithSpaces>14598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and Embargo Policy</dc:title>
  <dc:creator>Kimberley Zimmermann</dc:creator>
  <cp:lastModifiedBy>Nina Vadjaraganian</cp:lastModifiedBy>
  <cp:revision>5</cp:revision>
  <cp:lastPrinted>2019-08-07T08:25:00Z</cp:lastPrinted>
  <dcterms:created xsi:type="dcterms:W3CDTF">2020-09-11T15:48:00Z</dcterms:created>
  <dcterms:modified xsi:type="dcterms:W3CDTF">2020-09-11T16:32:00Z</dcterms:modified>
</cp:coreProperties>
</file>